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AB7632">
        <w:rPr>
          <w:rFonts w:ascii="Tahoma" w:hAnsi="Tahoma" w:cs="Tahoma"/>
          <w:sz w:val="20"/>
          <w:szCs w:val="20"/>
        </w:rPr>
        <w:t>22</w:t>
      </w:r>
      <w:r w:rsidR="00241EC0">
        <w:rPr>
          <w:rFonts w:ascii="Tahoma" w:hAnsi="Tahoma" w:cs="Tahoma"/>
          <w:sz w:val="20"/>
          <w:szCs w:val="20"/>
        </w:rPr>
        <w:t xml:space="preserve"> de 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241EC0">
        <w:rPr>
          <w:rFonts w:ascii="Tahoma" w:hAnsi="Tahoma" w:cs="Tahoma"/>
          <w:sz w:val="20"/>
          <w:szCs w:val="20"/>
        </w:rPr>
        <w:t>Legisladores de Puebla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241EC0">
        <w:rPr>
          <w:rFonts w:ascii="Tahoma" w:hAnsi="Tahoma" w:cs="Tahoma"/>
          <w:sz w:val="20"/>
          <w:szCs w:val="20"/>
        </w:rPr>
        <w:t>11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2006A" w:rsidRDefault="0092006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92006A" w:rsidP="00241EC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92006A">
        <w:rPr>
          <w:rFonts w:ascii="Tahoma" w:eastAsiaTheme="minorHAnsi" w:hAnsi="Tahoma" w:cs="Tahoma"/>
          <w:b/>
          <w:sz w:val="26"/>
          <w:szCs w:val="26"/>
          <w:lang w:eastAsia="en-US"/>
        </w:rPr>
        <w:t>3.-</w:t>
      </w:r>
      <w:r w:rsidRPr="0092006A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r w:rsidR="00FD4893">
        <w:rPr>
          <w:rFonts w:ascii="Tahoma" w:eastAsiaTheme="minorHAnsi" w:hAnsi="Tahoma" w:cs="Tahoma"/>
          <w:sz w:val="26"/>
          <w:szCs w:val="26"/>
          <w:lang w:eastAsia="en-US"/>
        </w:rPr>
        <w:t>Lectura del Acta de la reunión anterior, y en su caso, aprobación.</w:t>
      </w:r>
    </w:p>
    <w:p w:rsidR="00690E67" w:rsidRDefault="00690E67" w:rsidP="00241EC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90E67" w:rsidRDefault="00690E67" w:rsidP="00241EC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90E67" w:rsidRDefault="00690E67" w:rsidP="00241EC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90E67" w:rsidRDefault="00690E67" w:rsidP="00241EC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90E67" w:rsidRDefault="00690E67" w:rsidP="00241EC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690E67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4.- </w:t>
      </w:r>
      <w:r w:rsidRPr="00690E67">
        <w:rPr>
          <w:rFonts w:ascii="Tahoma" w:eastAsiaTheme="minorHAnsi" w:hAnsi="Tahoma" w:cs="Tahoma"/>
          <w:sz w:val="26"/>
          <w:szCs w:val="26"/>
          <w:lang w:eastAsia="en-US"/>
        </w:rPr>
        <w:t xml:space="preserve">Lectura y discusión del Dictamen con Proyecto de Decreto por el que se reforman las fracciones XIV y </w:t>
      </w:r>
      <w:proofErr w:type="gramStart"/>
      <w:r w:rsidRPr="00690E67">
        <w:rPr>
          <w:rFonts w:ascii="Tahoma" w:eastAsiaTheme="minorHAnsi" w:hAnsi="Tahoma" w:cs="Tahoma"/>
          <w:sz w:val="26"/>
          <w:szCs w:val="26"/>
          <w:lang w:eastAsia="en-US"/>
        </w:rPr>
        <w:t>XV  y</w:t>
      </w:r>
      <w:proofErr w:type="gramEnd"/>
      <w:r w:rsidRPr="00690E67">
        <w:rPr>
          <w:rFonts w:ascii="Tahoma" w:eastAsiaTheme="minorHAnsi" w:hAnsi="Tahoma" w:cs="Tahoma"/>
          <w:sz w:val="26"/>
          <w:szCs w:val="26"/>
          <w:lang w:eastAsia="en-US"/>
        </w:rPr>
        <w:t xml:space="preserve"> se adiciona una fracción XVI al artículo 13 de la Ley de la Comisión de Derechos Humanos del Estado de Puebla.</w:t>
      </w:r>
    </w:p>
    <w:p w:rsidR="00690E67" w:rsidRDefault="00690E67" w:rsidP="00241EC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90E67" w:rsidRDefault="00690E67" w:rsidP="00241EC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90E67" w:rsidRDefault="00690E67" w:rsidP="00241EC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90E67" w:rsidRDefault="00690E67" w:rsidP="00241EC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90E67" w:rsidRDefault="00690E67" w:rsidP="00241EC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690E67">
        <w:rPr>
          <w:rFonts w:ascii="Tahoma" w:eastAsiaTheme="minorHAnsi" w:hAnsi="Tahoma" w:cs="Tahoma"/>
          <w:b/>
          <w:sz w:val="26"/>
          <w:szCs w:val="26"/>
          <w:lang w:eastAsia="en-US"/>
        </w:rPr>
        <w:t>5.-</w:t>
      </w:r>
      <w:r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 </w:t>
      </w:r>
      <w:r w:rsidRPr="00690E67">
        <w:rPr>
          <w:rFonts w:ascii="Tahoma" w:eastAsiaTheme="minorHAnsi" w:hAnsi="Tahoma" w:cs="Tahoma"/>
          <w:sz w:val="26"/>
          <w:szCs w:val="26"/>
          <w:lang w:eastAsia="en-US"/>
        </w:rPr>
        <w:t>Lectura del resolutivo por el que se considera atendido el Punto de Acuerdo por el que se exhorta al Poder Ejecutivo a fin de establecer y dar seguimiento a las acciones emprendidas por la entidad en materia de violencia de género propuesto por la Diputada Nora Yessica Merino Escamilla del Grupo parlamentario del Partido Encuentro Social.</w:t>
      </w:r>
    </w:p>
    <w:p w:rsidR="00690E67" w:rsidRDefault="00690E67" w:rsidP="00241EC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90E67" w:rsidRDefault="00690E67" w:rsidP="00241EC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90E67" w:rsidRDefault="00690E67" w:rsidP="00241EC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90E67" w:rsidRDefault="00690E67" w:rsidP="00241EC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90E67" w:rsidRPr="00690E67" w:rsidRDefault="00690E67" w:rsidP="00241EC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690E67">
        <w:rPr>
          <w:rFonts w:ascii="Tahoma" w:eastAsiaTheme="minorHAnsi" w:hAnsi="Tahoma" w:cs="Tahoma"/>
          <w:b/>
          <w:sz w:val="26"/>
          <w:szCs w:val="26"/>
          <w:lang w:eastAsia="en-US"/>
        </w:rPr>
        <w:t>6.-</w:t>
      </w:r>
      <w:r>
        <w:rPr>
          <w:rFonts w:ascii="Tahoma" w:eastAsiaTheme="minorHAnsi" w:hAnsi="Tahoma" w:cs="Tahoma"/>
          <w:sz w:val="26"/>
          <w:szCs w:val="26"/>
          <w:lang w:eastAsia="en-US"/>
        </w:rPr>
        <w:t xml:space="preserve"> Asuntos Generales.</w:t>
      </w:r>
      <w:bookmarkStart w:id="0" w:name="_GoBack"/>
      <w:bookmarkEnd w:id="0"/>
    </w:p>
    <w:sectPr w:rsidR="00690E67" w:rsidRPr="00690E6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E71" w:rsidRDefault="001D3E71">
      <w:r>
        <w:separator/>
      </w:r>
    </w:p>
  </w:endnote>
  <w:endnote w:type="continuationSeparator" w:id="0">
    <w:p w:rsidR="001D3E71" w:rsidRDefault="001D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E71" w:rsidRDefault="001D3E71">
      <w:r>
        <w:separator/>
      </w:r>
    </w:p>
  </w:footnote>
  <w:footnote w:type="continuationSeparator" w:id="0">
    <w:p w:rsidR="001D3E71" w:rsidRDefault="001D3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241EC0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365BFDE7">
          <wp:simplePos x="0" y="0"/>
          <wp:positionH relativeFrom="column">
            <wp:posOffset>37465</wp:posOffset>
          </wp:positionH>
          <wp:positionV relativeFrom="paragraph">
            <wp:posOffset>9525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92006A">
      <w:rPr>
        <w:rFonts w:ascii="Tahoma" w:hAnsi="Tahoma" w:cs="Tahoma"/>
        <w:b/>
        <w:bCs/>
        <w:sz w:val="34"/>
        <w:szCs w:val="34"/>
      </w:rPr>
      <w:t>DERECHOS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10F7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E71"/>
    <w:rsid w:val="001D3F97"/>
    <w:rsid w:val="001D7049"/>
    <w:rsid w:val="001E5F6E"/>
    <w:rsid w:val="00210B58"/>
    <w:rsid w:val="00216515"/>
    <w:rsid w:val="002239FB"/>
    <w:rsid w:val="002346E2"/>
    <w:rsid w:val="00240CFA"/>
    <w:rsid w:val="00241EC0"/>
    <w:rsid w:val="00273E08"/>
    <w:rsid w:val="00281575"/>
    <w:rsid w:val="00287D89"/>
    <w:rsid w:val="00297BF5"/>
    <w:rsid w:val="002A2954"/>
    <w:rsid w:val="002B6A4A"/>
    <w:rsid w:val="003144C6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90E67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06A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18A2"/>
    <w:rsid w:val="009F6FD3"/>
    <w:rsid w:val="00A033E6"/>
    <w:rsid w:val="00A0539B"/>
    <w:rsid w:val="00A664A5"/>
    <w:rsid w:val="00A71522"/>
    <w:rsid w:val="00A92B50"/>
    <w:rsid w:val="00A97D58"/>
    <w:rsid w:val="00AB492F"/>
    <w:rsid w:val="00AB5939"/>
    <w:rsid w:val="00AB7632"/>
    <w:rsid w:val="00AC1AAB"/>
    <w:rsid w:val="00AC6C32"/>
    <w:rsid w:val="00AD13F0"/>
    <w:rsid w:val="00AD34F9"/>
    <w:rsid w:val="00AE7BBD"/>
    <w:rsid w:val="00AF0FFB"/>
    <w:rsid w:val="00AF13F3"/>
    <w:rsid w:val="00B5278D"/>
    <w:rsid w:val="00B630E1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D4893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60A16E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6</cp:revision>
  <cp:lastPrinted>2017-08-31T17:15:00Z</cp:lastPrinted>
  <dcterms:created xsi:type="dcterms:W3CDTF">2018-11-15T21:43:00Z</dcterms:created>
  <dcterms:modified xsi:type="dcterms:W3CDTF">2018-11-21T23:48:00Z</dcterms:modified>
</cp:coreProperties>
</file>