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023C6C">
        <w:rPr>
          <w:rFonts w:ascii="Tahoma" w:hAnsi="Tahoma" w:cs="Tahoma"/>
          <w:sz w:val="20"/>
          <w:szCs w:val="20"/>
        </w:rPr>
        <w:t>27 de noviembre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2018</w:t>
      </w:r>
    </w:p>
    <w:p w:rsidR="00834570" w:rsidRPr="00BC142C" w:rsidRDefault="00A97D58" w:rsidP="00F52DA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A640C1">
        <w:rPr>
          <w:rFonts w:ascii="Tahoma" w:hAnsi="Tahoma" w:cs="Tahoma"/>
          <w:sz w:val="20"/>
          <w:szCs w:val="20"/>
        </w:rPr>
        <w:t xml:space="preserve">   </w:t>
      </w:r>
      <w:r w:rsidR="00AA4C7C">
        <w:rPr>
          <w:rFonts w:ascii="Tahoma" w:hAnsi="Tahoma" w:cs="Tahoma"/>
          <w:sz w:val="20"/>
          <w:szCs w:val="20"/>
        </w:rPr>
        <w:t>Sala “</w:t>
      </w:r>
      <w:r w:rsidR="00023C6C">
        <w:rPr>
          <w:rFonts w:ascii="Tahoma" w:hAnsi="Tahoma" w:cs="Tahoma"/>
          <w:sz w:val="20"/>
          <w:szCs w:val="20"/>
        </w:rPr>
        <w:t>Esperanza Ramos Rodríguez” 11</w:t>
      </w:r>
      <w:r w:rsidR="00F52DAE">
        <w:rPr>
          <w:rFonts w:ascii="Tahoma" w:hAnsi="Tahoma" w:cs="Tahoma"/>
          <w:sz w:val="20"/>
          <w:szCs w:val="20"/>
        </w:rPr>
        <w:t>:00 horas.</w:t>
      </w:r>
    </w:p>
    <w:p w:rsidR="00D526F7" w:rsidRDefault="00D526F7" w:rsidP="00421077">
      <w:pPr>
        <w:jc w:val="center"/>
        <w:rPr>
          <w:rFonts w:ascii="Tahoma" w:hAnsi="Tahoma" w:cs="Tahoma"/>
          <w:sz w:val="20"/>
          <w:szCs w:val="20"/>
        </w:rPr>
      </w:pPr>
    </w:p>
    <w:p w:rsidR="00D526F7" w:rsidRDefault="00D526F7" w:rsidP="00421077">
      <w:pPr>
        <w:jc w:val="center"/>
        <w:rPr>
          <w:rFonts w:ascii="Tahoma" w:hAnsi="Tahoma" w:cs="Tahoma"/>
          <w:sz w:val="20"/>
          <w:szCs w:val="20"/>
        </w:rPr>
      </w:pPr>
    </w:p>
    <w:p w:rsidR="00834570" w:rsidRPr="00421077" w:rsidRDefault="00DC11C3" w:rsidP="00421077">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421077">
        <w:rPr>
          <w:rFonts w:ascii="Tahoma" w:hAnsi="Tahoma" w:cs="Tahoma"/>
          <w:sz w:val="20"/>
          <w:szCs w:val="20"/>
        </w:rPr>
        <w:t xml:space="preserve">             </w:t>
      </w:r>
    </w:p>
    <w:p w:rsidR="001D0E3A" w:rsidRPr="008F3882" w:rsidRDefault="001A560F" w:rsidP="008F3882">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r w:rsidR="00BC142C">
        <w:rPr>
          <w:rFonts w:ascii="Tahoma" w:eastAsiaTheme="minorHAnsi" w:hAnsi="Tahoma" w:cs="Tahoma"/>
          <w:b/>
          <w:i/>
          <w:lang w:val="es-US" w:eastAsia="en-US"/>
        </w:rPr>
        <w:tab/>
      </w:r>
    </w:p>
    <w:p w:rsidR="00C839F8" w:rsidRDefault="00C839F8" w:rsidP="00421077">
      <w:pPr>
        <w:jc w:val="both"/>
        <w:rPr>
          <w:rFonts w:ascii="Tahoma" w:eastAsiaTheme="minorHAnsi" w:hAnsi="Tahoma" w:cs="Tahoma"/>
          <w:b/>
          <w:lang w:val="es-US" w:eastAsia="en-US"/>
        </w:rPr>
      </w:pPr>
    </w:p>
    <w:p w:rsidR="00C839F8" w:rsidRDefault="00C839F8" w:rsidP="00421077">
      <w:pPr>
        <w:jc w:val="both"/>
        <w:rPr>
          <w:rFonts w:ascii="Tahoma" w:eastAsiaTheme="minorHAnsi" w:hAnsi="Tahoma" w:cs="Tahoma"/>
          <w:b/>
          <w:lang w:val="es-US" w:eastAsia="en-US"/>
        </w:rPr>
      </w:pPr>
    </w:p>
    <w:p w:rsidR="00D526F7" w:rsidRDefault="00D526F7" w:rsidP="00421077">
      <w:pPr>
        <w:jc w:val="both"/>
        <w:rPr>
          <w:rFonts w:ascii="Tahoma" w:eastAsiaTheme="minorHAnsi" w:hAnsi="Tahoma" w:cs="Tahoma"/>
          <w:b/>
          <w:lang w:val="es-US" w:eastAsia="en-US"/>
        </w:rPr>
      </w:pPr>
      <w:bookmarkStart w:id="0" w:name="_GoBack"/>
      <w:bookmarkEnd w:id="0"/>
    </w:p>
    <w:p w:rsidR="00D526F7" w:rsidRDefault="00D526F7" w:rsidP="00421077">
      <w:pPr>
        <w:jc w:val="both"/>
        <w:rPr>
          <w:rFonts w:ascii="Tahoma" w:eastAsiaTheme="minorHAnsi" w:hAnsi="Tahoma" w:cs="Tahoma"/>
          <w:b/>
          <w:lang w:val="es-US" w:eastAsia="en-US"/>
        </w:rPr>
      </w:pPr>
    </w:p>
    <w:p w:rsidR="00AA4C7C" w:rsidRDefault="001A560F" w:rsidP="00421077">
      <w:pPr>
        <w:jc w:val="both"/>
        <w:rPr>
          <w:rFonts w:ascii="Tahoma" w:eastAsiaTheme="minorHAnsi" w:hAnsi="Tahoma" w:cs="Tahoma"/>
          <w:lang w:val="es-US" w:eastAsia="en-US"/>
        </w:rPr>
      </w:pPr>
      <w:r w:rsidRPr="00BF1185">
        <w:rPr>
          <w:rFonts w:ascii="Tahoma" w:eastAsiaTheme="minorHAnsi" w:hAnsi="Tahoma" w:cs="Tahoma"/>
          <w:b/>
          <w:lang w:val="es-US" w:eastAsia="en-US"/>
        </w:rPr>
        <w:t>1.-</w:t>
      </w:r>
      <w:r w:rsidRPr="00BF1185">
        <w:rPr>
          <w:rFonts w:ascii="Tahoma" w:eastAsiaTheme="minorHAnsi" w:hAnsi="Tahoma" w:cs="Tahoma"/>
          <w:lang w:val="es-US" w:eastAsia="en-US"/>
        </w:rPr>
        <w:t xml:space="preserve"> Pase de lista y declaración de quórum legal.</w:t>
      </w:r>
    </w:p>
    <w:p w:rsidR="00BF1185" w:rsidRPr="00BF1185" w:rsidRDefault="00BF1185" w:rsidP="00421077">
      <w:pPr>
        <w:jc w:val="both"/>
        <w:rPr>
          <w:rFonts w:ascii="Tahoma" w:eastAsiaTheme="minorHAnsi" w:hAnsi="Tahoma" w:cs="Tahoma"/>
          <w:lang w:val="es-US" w:eastAsia="en-US"/>
        </w:rPr>
      </w:pPr>
    </w:p>
    <w:p w:rsidR="00730E6C" w:rsidRPr="00BF1185" w:rsidRDefault="00730E6C" w:rsidP="00421077">
      <w:pPr>
        <w:jc w:val="both"/>
        <w:rPr>
          <w:rFonts w:ascii="Tahoma" w:eastAsiaTheme="minorHAnsi" w:hAnsi="Tahoma" w:cs="Tahoma"/>
          <w:lang w:eastAsia="en-US"/>
        </w:rPr>
      </w:pPr>
    </w:p>
    <w:p w:rsidR="00595DA5" w:rsidRDefault="00595DA5" w:rsidP="00421077">
      <w:pPr>
        <w:jc w:val="both"/>
        <w:rPr>
          <w:rFonts w:ascii="Tahoma" w:eastAsiaTheme="minorHAnsi" w:hAnsi="Tahoma" w:cs="Tahoma"/>
          <w:lang w:val="es-MX" w:eastAsia="en-US"/>
        </w:rPr>
      </w:pPr>
      <w:r w:rsidRPr="00BF1185">
        <w:rPr>
          <w:rFonts w:ascii="Tahoma" w:eastAsiaTheme="minorHAnsi" w:hAnsi="Tahoma" w:cs="Tahoma"/>
          <w:b/>
          <w:lang w:val="es-MX" w:eastAsia="en-US"/>
        </w:rPr>
        <w:t>2.-</w:t>
      </w:r>
      <w:r w:rsidRPr="00BF1185">
        <w:rPr>
          <w:rFonts w:ascii="Tahoma" w:eastAsiaTheme="minorHAnsi" w:hAnsi="Tahoma" w:cs="Tahoma"/>
          <w:lang w:val="es-MX" w:eastAsia="en-US"/>
        </w:rPr>
        <w:t xml:space="preserve"> Lectura del Orden del Día, y en su caso, aprobación.</w:t>
      </w:r>
    </w:p>
    <w:p w:rsidR="00BF1185" w:rsidRPr="00BF1185" w:rsidRDefault="00BF1185" w:rsidP="00421077">
      <w:pPr>
        <w:jc w:val="both"/>
        <w:rPr>
          <w:rFonts w:ascii="Tahoma" w:eastAsiaTheme="minorHAnsi" w:hAnsi="Tahoma" w:cs="Tahoma"/>
          <w:lang w:val="es-MX" w:eastAsia="en-US"/>
        </w:rPr>
      </w:pPr>
    </w:p>
    <w:p w:rsidR="00AA4C7C" w:rsidRPr="00BF1185" w:rsidRDefault="00AA4C7C" w:rsidP="00421077">
      <w:pPr>
        <w:jc w:val="both"/>
        <w:rPr>
          <w:rFonts w:ascii="Tahoma" w:eastAsiaTheme="minorHAnsi" w:hAnsi="Tahoma" w:cs="Tahoma"/>
          <w:lang w:val="es-MX" w:eastAsia="en-US"/>
        </w:rPr>
      </w:pPr>
    </w:p>
    <w:p w:rsidR="008F3882" w:rsidRDefault="00595DA5" w:rsidP="00421077">
      <w:pPr>
        <w:jc w:val="both"/>
        <w:rPr>
          <w:rFonts w:ascii="Tahoma" w:eastAsiaTheme="minorHAnsi" w:hAnsi="Tahoma" w:cs="Tahoma"/>
          <w:lang w:val="es-MX" w:eastAsia="en-US"/>
        </w:rPr>
      </w:pPr>
      <w:r w:rsidRPr="00BF1185">
        <w:rPr>
          <w:rFonts w:ascii="Tahoma" w:eastAsiaTheme="minorHAnsi" w:hAnsi="Tahoma" w:cs="Tahoma"/>
          <w:b/>
          <w:lang w:val="es-MX" w:eastAsia="en-US"/>
        </w:rPr>
        <w:t>3.-</w:t>
      </w:r>
      <w:r w:rsidRPr="00BF1185">
        <w:rPr>
          <w:rFonts w:ascii="Tahoma" w:eastAsiaTheme="minorHAnsi" w:hAnsi="Tahoma" w:cs="Tahoma"/>
          <w:lang w:val="es-MX" w:eastAsia="en-US"/>
        </w:rPr>
        <w:t xml:space="preserve"> </w:t>
      </w:r>
      <w:r w:rsidR="00730E6C" w:rsidRPr="00BF1185">
        <w:rPr>
          <w:rFonts w:ascii="Tahoma" w:eastAsiaTheme="minorHAnsi" w:hAnsi="Tahoma" w:cs="Tahoma"/>
          <w:lang w:val="es-MX" w:eastAsia="en-US"/>
        </w:rPr>
        <w:t xml:space="preserve">Lectura del Acta de la Sesión anterior, y en su caso, </w:t>
      </w:r>
      <w:r w:rsidR="00AB5B98" w:rsidRPr="00BF1185">
        <w:rPr>
          <w:rFonts w:ascii="Tahoma" w:eastAsiaTheme="minorHAnsi" w:hAnsi="Tahoma" w:cs="Tahoma"/>
          <w:lang w:val="es-MX" w:eastAsia="en-US"/>
        </w:rPr>
        <w:t>aprobación</w:t>
      </w:r>
      <w:r w:rsidR="00DE42B0" w:rsidRPr="00BF1185">
        <w:rPr>
          <w:rFonts w:ascii="Tahoma" w:eastAsiaTheme="minorHAnsi" w:hAnsi="Tahoma" w:cs="Tahoma"/>
          <w:lang w:val="es-MX" w:eastAsia="en-US"/>
        </w:rPr>
        <w:t>.</w:t>
      </w:r>
    </w:p>
    <w:p w:rsidR="00BF1185" w:rsidRPr="00BF1185" w:rsidRDefault="00BF1185" w:rsidP="00421077">
      <w:pPr>
        <w:jc w:val="both"/>
        <w:rPr>
          <w:rFonts w:ascii="Tahoma" w:eastAsiaTheme="minorHAnsi" w:hAnsi="Tahoma" w:cs="Tahoma"/>
          <w:lang w:val="es-MX" w:eastAsia="en-US"/>
        </w:rPr>
      </w:pPr>
    </w:p>
    <w:p w:rsidR="008F3882" w:rsidRPr="00BF1185" w:rsidRDefault="008F3882" w:rsidP="00421077">
      <w:pPr>
        <w:jc w:val="both"/>
        <w:rPr>
          <w:rFonts w:ascii="Tahoma" w:eastAsiaTheme="minorHAnsi" w:hAnsi="Tahoma" w:cs="Tahoma"/>
          <w:lang w:val="es-MX" w:eastAsia="en-US"/>
        </w:rPr>
      </w:pPr>
    </w:p>
    <w:p w:rsidR="001B1043" w:rsidRDefault="008F3882" w:rsidP="001B1043">
      <w:pPr>
        <w:widowControl w:val="0"/>
        <w:jc w:val="both"/>
        <w:rPr>
          <w:rFonts w:ascii="Tahoma" w:eastAsiaTheme="minorHAnsi" w:hAnsi="Tahoma" w:cs="Tahoma"/>
          <w:lang w:val="es-MX" w:eastAsia="en-US"/>
        </w:rPr>
      </w:pPr>
      <w:r w:rsidRPr="00BF1185">
        <w:rPr>
          <w:rFonts w:ascii="Tahoma" w:eastAsiaTheme="minorHAnsi" w:hAnsi="Tahoma" w:cs="Tahoma"/>
          <w:b/>
          <w:lang w:val="es-MX" w:eastAsia="en-US"/>
        </w:rPr>
        <w:t>4.-</w:t>
      </w:r>
      <w:r w:rsidRPr="00BF1185">
        <w:rPr>
          <w:rFonts w:ascii="Tahoma" w:eastAsiaTheme="minorHAnsi" w:hAnsi="Tahoma" w:cs="Tahoma"/>
          <w:lang w:val="es-MX" w:eastAsia="en-US"/>
        </w:rPr>
        <w:t xml:space="preserve"> </w:t>
      </w:r>
      <w:r w:rsidR="001B1043" w:rsidRPr="00BF1185">
        <w:rPr>
          <w:rFonts w:ascii="Tahoma" w:eastAsiaTheme="minorHAnsi" w:hAnsi="Tahoma" w:cs="Tahoma"/>
          <w:lang w:val="es-MX" w:eastAsia="en-US"/>
        </w:rPr>
        <w:t xml:space="preserve">Recepción por parte del Auditor Superior del Estado de los expedientes e informes de los Dictámenes de las Cuentas Públicas solicitadas en los oficios </w:t>
      </w:r>
      <w:proofErr w:type="spellStart"/>
      <w:r w:rsidR="001B1043" w:rsidRPr="00BF1185">
        <w:rPr>
          <w:rFonts w:ascii="Tahoma" w:eastAsiaTheme="minorHAnsi" w:hAnsi="Tahoma" w:cs="Tahoma"/>
          <w:lang w:val="es-MX" w:eastAsia="en-US"/>
        </w:rPr>
        <w:t>DGAJEPL</w:t>
      </w:r>
      <w:proofErr w:type="spellEnd"/>
      <w:r w:rsidR="001B1043" w:rsidRPr="00BF1185">
        <w:rPr>
          <w:rFonts w:ascii="Tahoma" w:eastAsiaTheme="minorHAnsi" w:hAnsi="Tahoma" w:cs="Tahoma"/>
          <w:lang w:val="es-MX" w:eastAsia="en-US"/>
        </w:rPr>
        <w:t xml:space="preserve">/4570/2018 y </w:t>
      </w:r>
      <w:proofErr w:type="spellStart"/>
      <w:r w:rsidR="001B1043" w:rsidRPr="00BF1185">
        <w:rPr>
          <w:rFonts w:ascii="Tahoma" w:eastAsiaTheme="minorHAnsi" w:hAnsi="Tahoma" w:cs="Tahoma"/>
          <w:lang w:val="es-MX" w:eastAsia="en-US"/>
        </w:rPr>
        <w:t>DGAJEPL</w:t>
      </w:r>
      <w:proofErr w:type="spellEnd"/>
      <w:r w:rsidR="001B1043" w:rsidRPr="00BF1185">
        <w:rPr>
          <w:rFonts w:ascii="Tahoma" w:eastAsiaTheme="minorHAnsi" w:hAnsi="Tahoma" w:cs="Tahoma"/>
          <w:lang w:val="es-MX" w:eastAsia="en-US"/>
        </w:rPr>
        <w:t xml:space="preserve">/6152/2018 recibidos por la Auditoria Superior del Estado en fecha 3 de octubre a las 15:39 hrs y 5 de noviembre de dos mil dieciocho a las 14:32 hrs, respectivamente; así también, la reposición del Procedimiento Administrativo de Determinación de Responsabilidades en contra de la Presidenta Municipal Constitucional del H. Ayuntamiento de Tehuacán, Puebla, administración 2014-2018, mismo que fue recibido por la Auditoria Superior del Estado el día 10 de octubre de dos mil dieciocho a las 15:57 hrs.   </w:t>
      </w:r>
    </w:p>
    <w:p w:rsidR="00C839F8" w:rsidRPr="00BF1185" w:rsidRDefault="00C839F8" w:rsidP="001B1043">
      <w:pPr>
        <w:widowControl w:val="0"/>
        <w:jc w:val="both"/>
        <w:rPr>
          <w:rFonts w:ascii="Tahoma" w:eastAsiaTheme="minorHAnsi" w:hAnsi="Tahoma" w:cs="Tahoma"/>
          <w:lang w:val="es-MX" w:eastAsia="en-US"/>
        </w:rPr>
      </w:pPr>
    </w:p>
    <w:p w:rsidR="001B1043" w:rsidRPr="00BF1185" w:rsidRDefault="001B1043" w:rsidP="001B1043">
      <w:pPr>
        <w:widowControl w:val="0"/>
        <w:jc w:val="both"/>
        <w:rPr>
          <w:rFonts w:ascii="Tahoma" w:eastAsiaTheme="minorHAnsi" w:hAnsi="Tahoma" w:cs="Tahoma"/>
          <w:lang w:val="es-MX" w:eastAsia="en-US"/>
        </w:rPr>
      </w:pPr>
      <w:r w:rsidRPr="00BF1185">
        <w:rPr>
          <w:rFonts w:ascii="Tahoma" w:eastAsiaTheme="minorHAnsi" w:hAnsi="Tahoma" w:cs="Tahoma"/>
          <w:lang w:val="es-MX" w:eastAsia="en-US"/>
        </w:rPr>
        <w:t xml:space="preserve"> </w:t>
      </w:r>
    </w:p>
    <w:p w:rsidR="001B1043" w:rsidRDefault="001B1043" w:rsidP="001B1043">
      <w:pPr>
        <w:widowControl w:val="0"/>
        <w:jc w:val="both"/>
        <w:rPr>
          <w:rFonts w:ascii="Tahoma" w:eastAsiaTheme="minorHAnsi" w:hAnsi="Tahoma" w:cs="Tahoma"/>
          <w:lang w:val="es-MX" w:eastAsia="en-US"/>
        </w:rPr>
      </w:pPr>
      <w:r w:rsidRPr="00BF1185">
        <w:rPr>
          <w:rFonts w:ascii="Tahoma" w:eastAsiaTheme="minorHAnsi" w:hAnsi="Tahoma" w:cs="Tahoma"/>
          <w:b/>
          <w:lang w:val="es-MX" w:eastAsia="en-US"/>
        </w:rPr>
        <w:t>5.-</w:t>
      </w:r>
      <w:r w:rsidRPr="00BF1185">
        <w:rPr>
          <w:rFonts w:ascii="Tahoma" w:eastAsiaTheme="minorHAnsi" w:hAnsi="Tahoma" w:cs="Tahoma"/>
          <w:lang w:val="es-MX" w:eastAsia="en-US"/>
        </w:rPr>
        <w:t xml:space="preserve"> Lectura y, en su caso, aprobación del Acuerdo mediante el cual se da contestación al escrito de fecha 19 de septiembre de 2018 firmado por Julio Alberto González Hernández, Fabricio Juárez Nieves, Lucio Lobato Escamilla, Fausto Romero B., Valentín Romero Rojas y </w:t>
      </w:r>
      <w:proofErr w:type="spellStart"/>
      <w:r w:rsidRPr="00BF1185">
        <w:rPr>
          <w:rFonts w:ascii="Tahoma" w:eastAsiaTheme="minorHAnsi" w:hAnsi="Tahoma" w:cs="Tahoma"/>
          <w:lang w:val="es-MX" w:eastAsia="en-US"/>
        </w:rPr>
        <w:t>Zita</w:t>
      </w:r>
      <w:proofErr w:type="spellEnd"/>
      <w:r w:rsidRPr="00BF1185">
        <w:rPr>
          <w:rFonts w:ascii="Tahoma" w:eastAsiaTheme="minorHAnsi" w:hAnsi="Tahoma" w:cs="Tahoma"/>
          <w:lang w:val="es-MX" w:eastAsia="en-US"/>
        </w:rPr>
        <w:t xml:space="preserve"> Romero Enríquez, y se remite a la Auditoria Superior del Estado para los efectos legales correspondientes. </w:t>
      </w:r>
    </w:p>
    <w:p w:rsidR="00C839F8" w:rsidRPr="00BF1185" w:rsidRDefault="00C839F8" w:rsidP="001B1043">
      <w:pPr>
        <w:widowControl w:val="0"/>
        <w:jc w:val="both"/>
        <w:rPr>
          <w:rFonts w:ascii="Tahoma" w:eastAsiaTheme="minorHAnsi" w:hAnsi="Tahoma" w:cs="Tahoma"/>
          <w:lang w:val="es-MX" w:eastAsia="en-US"/>
        </w:rPr>
      </w:pPr>
    </w:p>
    <w:p w:rsidR="001B1043" w:rsidRPr="00BF1185" w:rsidRDefault="001B1043" w:rsidP="001B1043">
      <w:pPr>
        <w:widowControl w:val="0"/>
        <w:jc w:val="both"/>
        <w:rPr>
          <w:rFonts w:ascii="Tahoma" w:eastAsiaTheme="minorHAnsi" w:hAnsi="Tahoma" w:cs="Tahoma"/>
          <w:lang w:val="es-MX" w:eastAsia="en-US"/>
        </w:rPr>
      </w:pPr>
      <w:r w:rsidRPr="00BF1185">
        <w:rPr>
          <w:rFonts w:ascii="Tahoma" w:eastAsiaTheme="minorHAnsi" w:hAnsi="Tahoma" w:cs="Tahoma"/>
          <w:lang w:val="es-MX" w:eastAsia="en-US"/>
        </w:rPr>
        <w:t xml:space="preserve"> </w:t>
      </w:r>
    </w:p>
    <w:p w:rsidR="00421077" w:rsidRDefault="001B1043" w:rsidP="00C7208E">
      <w:pPr>
        <w:widowControl w:val="0"/>
        <w:jc w:val="both"/>
        <w:rPr>
          <w:rFonts w:ascii="Tahoma" w:eastAsiaTheme="minorHAnsi" w:hAnsi="Tahoma" w:cs="Tahoma"/>
          <w:lang w:val="es-MX" w:eastAsia="en-US"/>
        </w:rPr>
      </w:pPr>
      <w:r w:rsidRPr="00BF1185">
        <w:rPr>
          <w:rFonts w:ascii="Tahoma" w:eastAsiaTheme="minorHAnsi" w:hAnsi="Tahoma" w:cs="Tahoma"/>
          <w:b/>
          <w:lang w:val="es-MX" w:eastAsia="en-US"/>
        </w:rPr>
        <w:t>6.-</w:t>
      </w:r>
      <w:r w:rsidRPr="00BF1185">
        <w:rPr>
          <w:rFonts w:ascii="Tahoma" w:eastAsiaTheme="minorHAnsi" w:hAnsi="Tahoma" w:cs="Tahoma"/>
          <w:lang w:val="es-MX" w:eastAsia="en-US"/>
        </w:rPr>
        <w:t xml:space="preserve"> Lectura y, en su caso, aprobación del Acuerdo mediante el cual se da contestación al escrito de fecha 24 de septiembre de 2018 firmado por Julio Alberto González Hernández, Aurora Pacheco Lara, </w:t>
      </w:r>
      <w:proofErr w:type="spellStart"/>
      <w:r w:rsidRPr="00BF1185">
        <w:rPr>
          <w:rFonts w:ascii="Tahoma" w:eastAsiaTheme="minorHAnsi" w:hAnsi="Tahoma" w:cs="Tahoma"/>
          <w:lang w:val="es-MX" w:eastAsia="en-US"/>
        </w:rPr>
        <w:t>Zita</w:t>
      </w:r>
      <w:proofErr w:type="spellEnd"/>
      <w:r w:rsidRPr="00BF1185">
        <w:rPr>
          <w:rFonts w:ascii="Tahoma" w:eastAsiaTheme="minorHAnsi" w:hAnsi="Tahoma" w:cs="Tahoma"/>
          <w:lang w:val="es-MX" w:eastAsia="en-US"/>
        </w:rPr>
        <w:t xml:space="preserve"> Romero Enríquez, Emilio Romero González y Fausto Romero Bonilla, y se remite a la Auditoria Superior del Estado para los efectos legales correspondientes.</w:t>
      </w: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D526F7" w:rsidRDefault="00D526F7" w:rsidP="00C7208E">
      <w:pPr>
        <w:widowControl w:val="0"/>
        <w:jc w:val="both"/>
        <w:rPr>
          <w:rFonts w:ascii="Tahoma" w:eastAsiaTheme="minorHAnsi" w:hAnsi="Tahoma" w:cs="Tahoma"/>
          <w:lang w:val="es-MX" w:eastAsia="en-US"/>
        </w:rPr>
      </w:pPr>
    </w:p>
    <w:p w:rsidR="00C839F8" w:rsidRPr="00BF1185" w:rsidRDefault="00C839F8" w:rsidP="00C7208E">
      <w:pPr>
        <w:widowControl w:val="0"/>
        <w:jc w:val="both"/>
        <w:rPr>
          <w:rFonts w:ascii="Tahoma" w:eastAsiaTheme="minorHAnsi" w:hAnsi="Tahoma" w:cs="Tahoma"/>
          <w:lang w:val="es-MX" w:eastAsia="en-US"/>
        </w:rPr>
      </w:pPr>
    </w:p>
    <w:p w:rsidR="00421077" w:rsidRPr="00BF1185" w:rsidRDefault="00421077" w:rsidP="00421077">
      <w:pPr>
        <w:widowControl w:val="0"/>
        <w:jc w:val="both"/>
        <w:rPr>
          <w:rFonts w:ascii="Tahoma" w:eastAsiaTheme="minorHAnsi" w:hAnsi="Tahoma" w:cs="Tahoma"/>
          <w:lang w:val="es-MX" w:eastAsia="en-US"/>
        </w:rPr>
      </w:pPr>
    </w:p>
    <w:p w:rsidR="008F3882" w:rsidRPr="00BF1185" w:rsidRDefault="00C7208E" w:rsidP="00421077">
      <w:pPr>
        <w:widowControl w:val="0"/>
        <w:jc w:val="both"/>
        <w:rPr>
          <w:rFonts w:ascii="Tahoma" w:eastAsiaTheme="minorHAnsi" w:hAnsi="Tahoma" w:cs="Tahoma"/>
          <w:lang w:val="es-MX" w:eastAsia="en-US"/>
        </w:rPr>
      </w:pPr>
      <w:r w:rsidRPr="00BF1185">
        <w:rPr>
          <w:rFonts w:ascii="Tahoma" w:eastAsiaTheme="minorHAnsi" w:hAnsi="Tahoma" w:cs="Tahoma"/>
          <w:b/>
          <w:lang w:val="es-MX" w:eastAsia="en-US"/>
        </w:rPr>
        <w:t>7</w:t>
      </w:r>
      <w:r w:rsidR="00421077" w:rsidRPr="00BF1185">
        <w:rPr>
          <w:rFonts w:ascii="Tahoma" w:eastAsiaTheme="minorHAnsi" w:hAnsi="Tahoma" w:cs="Tahoma"/>
          <w:b/>
          <w:lang w:val="es-MX" w:eastAsia="en-US"/>
        </w:rPr>
        <w:t>.-</w:t>
      </w:r>
      <w:r w:rsidR="00421077" w:rsidRPr="00BF1185">
        <w:rPr>
          <w:rFonts w:ascii="Tahoma" w:eastAsiaTheme="minorHAnsi" w:hAnsi="Tahoma" w:cs="Tahoma"/>
          <w:lang w:val="es-MX" w:eastAsia="en-US"/>
        </w:rPr>
        <w:t xml:space="preserve"> Se turnan a la Auditoria Superior del Estado los siguientes Recursos de Revocación en contra de actos del H. Congreso del Estado de Puebla:</w:t>
      </w:r>
    </w:p>
    <w:p w:rsidR="0058175B" w:rsidRPr="00421077" w:rsidRDefault="0058175B" w:rsidP="00421077">
      <w:pPr>
        <w:widowControl w:val="0"/>
        <w:jc w:val="both"/>
        <w:rPr>
          <w:rFonts w:ascii="Tahoma" w:eastAsiaTheme="minorHAnsi" w:hAnsi="Tahoma" w:cs="Tahoma"/>
          <w:sz w:val="22"/>
          <w:szCs w:val="22"/>
          <w:lang w:val="es-MX" w:eastAsia="en-US"/>
        </w:rPr>
      </w:pPr>
    </w:p>
    <w:tbl>
      <w:tblPr>
        <w:tblW w:w="8789" w:type="dxa"/>
        <w:jc w:val="center"/>
        <w:tblCellMar>
          <w:left w:w="70" w:type="dxa"/>
          <w:right w:w="70" w:type="dxa"/>
        </w:tblCellMar>
        <w:tblLook w:val="04A0" w:firstRow="1" w:lastRow="0" w:firstColumn="1" w:lastColumn="0" w:noHBand="0" w:noVBand="1"/>
      </w:tblPr>
      <w:tblGrid>
        <w:gridCol w:w="429"/>
        <w:gridCol w:w="542"/>
        <w:gridCol w:w="2998"/>
        <w:gridCol w:w="3119"/>
        <w:gridCol w:w="1701"/>
      </w:tblGrid>
      <w:tr w:rsidR="00421077" w:rsidRPr="00421077" w:rsidTr="00421077">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421077" w:rsidRPr="00421077" w:rsidRDefault="00421077" w:rsidP="00421077">
            <w:pPr>
              <w:spacing w:after="160" w:line="276" w:lineRule="auto"/>
              <w:jc w:val="center"/>
              <w:rPr>
                <w:rFonts w:ascii="Century Gothic" w:eastAsia="Calibri" w:hAnsi="Century Gothic" w:cs="Calibri"/>
                <w:b/>
                <w:color w:val="FFFFFF"/>
                <w:sz w:val="16"/>
                <w:szCs w:val="16"/>
                <w:lang w:val="es-419" w:eastAsia="en-US"/>
              </w:rPr>
            </w:pPr>
            <w:r w:rsidRPr="00421077">
              <w:rPr>
                <w:rFonts w:ascii="Century Gothic" w:eastAsia="Calibri" w:hAnsi="Century Gothic" w:cs="Calibri"/>
                <w:b/>
                <w:color w:val="FFFFFF"/>
                <w:sz w:val="16"/>
                <w:szCs w:val="16"/>
                <w:lang w:val="es-419" w:eastAsia="en-US"/>
              </w:rPr>
              <w:t>No.</w:t>
            </w:r>
          </w:p>
        </w:tc>
        <w:tc>
          <w:tcPr>
            <w:tcW w:w="0" w:type="auto"/>
            <w:tcBorders>
              <w:top w:val="single" w:sz="4" w:space="0" w:color="auto"/>
              <w:left w:val="nil"/>
              <w:bottom w:val="single" w:sz="4" w:space="0" w:color="auto"/>
              <w:right w:val="single" w:sz="4" w:space="0" w:color="auto"/>
            </w:tcBorders>
            <w:shd w:val="clear" w:color="auto" w:fill="000000"/>
            <w:vAlign w:val="center"/>
          </w:tcPr>
          <w:p w:rsidR="00421077" w:rsidRPr="00421077" w:rsidRDefault="00421077" w:rsidP="00421077">
            <w:pPr>
              <w:spacing w:after="160" w:line="276" w:lineRule="auto"/>
              <w:jc w:val="center"/>
              <w:rPr>
                <w:rFonts w:ascii="Century Gothic" w:eastAsia="Calibri" w:hAnsi="Century Gothic" w:cs="Calibri"/>
                <w:b/>
                <w:bCs/>
                <w:color w:val="FFFFFF"/>
                <w:sz w:val="16"/>
                <w:szCs w:val="16"/>
                <w:lang w:val="es-419" w:eastAsia="en-US"/>
              </w:rPr>
            </w:pPr>
            <w:r w:rsidRPr="00421077">
              <w:rPr>
                <w:rFonts w:ascii="Century Gothic" w:eastAsia="Calibri" w:hAnsi="Century Gothic" w:cs="Calibri"/>
                <w:b/>
                <w:bCs/>
                <w:color w:val="FFFFFF"/>
                <w:sz w:val="16"/>
                <w:szCs w:val="16"/>
                <w:lang w:val="es-419" w:eastAsia="en-US"/>
              </w:rPr>
              <w:t>AÑO</w:t>
            </w:r>
          </w:p>
        </w:tc>
        <w:tc>
          <w:tcPr>
            <w:tcW w:w="2998" w:type="dxa"/>
            <w:tcBorders>
              <w:top w:val="single" w:sz="4" w:space="0" w:color="auto"/>
              <w:left w:val="nil"/>
              <w:bottom w:val="single" w:sz="4" w:space="0" w:color="auto"/>
              <w:right w:val="single" w:sz="4" w:space="0" w:color="auto"/>
            </w:tcBorders>
            <w:shd w:val="clear" w:color="auto" w:fill="000000"/>
            <w:vAlign w:val="center"/>
          </w:tcPr>
          <w:p w:rsidR="00421077" w:rsidRPr="00421077" w:rsidRDefault="00421077" w:rsidP="00421077">
            <w:pPr>
              <w:spacing w:after="160" w:line="276" w:lineRule="auto"/>
              <w:jc w:val="center"/>
              <w:rPr>
                <w:rFonts w:ascii="Century Gothic" w:eastAsia="Calibri" w:hAnsi="Century Gothic" w:cs="Calibri"/>
                <w:b/>
                <w:bCs/>
                <w:color w:val="FFFFFF"/>
                <w:sz w:val="16"/>
                <w:szCs w:val="16"/>
                <w:lang w:val="es-419" w:eastAsia="en-US"/>
              </w:rPr>
            </w:pPr>
            <w:r w:rsidRPr="00421077">
              <w:rPr>
                <w:rFonts w:ascii="Century Gothic" w:eastAsia="Calibri" w:hAnsi="Century Gothic" w:cs="Calibri"/>
                <w:b/>
                <w:bCs/>
                <w:color w:val="FFFFFF"/>
                <w:sz w:val="16"/>
                <w:szCs w:val="16"/>
                <w:lang w:val="es-419" w:eastAsia="en-US"/>
              </w:rPr>
              <w:t>SUJETO</w:t>
            </w:r>
          </w:p>
        </w:tc>
        <w:tc>
          <w:tcPr>
            <w:tcW w:w="3119" w:type="dxa"/>
            <w:tcBorders>
              <w:top w:val="single" w:sz="4" w:space="0" w:color="auto"/>
              <w:left w:val="nil"/>
              <w:bottom w:val="single" w:sz="4" w:space="0" w:color="auto"/>
              <w:right w:val="single" w:sz="4" w:space="0" w:color="auto"/>
            </w:tcBorders>
            <w:shd w:val="clear" w:color="auto" w:fill="000000"/>
            <w:vAlign w:val="center"/>
          </w:tcPr>
          <w:p w:rsidR="00421077" w:rsidRPr="00421077" w:rsidRDefault="00421077" w:rsidP="00421077">
            <w:pPr>
              <w:spacing w:after="160" w:line="276" w:lineRule="auto"/>
              <w:jc w:val="center"/>
              <w:rPr>
                <w:rFonts w:ascii="Century Gothic" w:eastAsia="Calibri" w:hAnsi="Century Gothic" w:cs="Calibri"/>
                <w:b/>
                <w:color w:val="FFFFFF"/>
                <w:sz w:val="16"/>
                <w:szCs w:val="16"/>
                <w:lang w:val="es-419" w:eastAsia="en-US"/>
              </w:rPr>
            </w:pPr>
            <w:r w:rsidRPr="00421077">
              <w:rPr>
                <w:rFonts w:ascii="Century Gothic" w:eastAsia="Calibri" w:hAnsi="Century Gothic" w:cs="Calibri"/>
                <w:b/>
                <w:color w:val="FFFFFF"/>
                <w:sz w:val="16"/>
                <w:szCs w:val="16"/>
                <w:lang w:val="es-419" w:eastAsia="en-US"/>
              </w:rPr>
              <w:t>TITULAR</w:t>
            </w:r>
          </w:p>
        </w:tc>
        <w:tc>
          <w:tcPr>
            <w:tcW w:w="1701" w:type="dxa"/>
            <w:tcBorders>
              <w:top w:val="single" w:sz="4" w:space="0" w:color="auto"/>
              <w:left w:val="nil"/>
              <w:bottom w:val="single" w:sz="4" w:space="0" w:color="auto"/>
              <w:right w:val="single" w:sz="4" w:space="0" w:color="auto"/>
            </w:tcBorders>
            <w:shd w:val="clear" w:color="auto" w:fill="000000"/>
            <w:vAlign w:val="center"/>
          </w:tcPr>
          <w:p w:rsidR="00421077" w:rsidRPr="00421077" w:rsidRDefault="00421077" w:rsidP="00421077">
            <w:pPr>
              <w:spacing w:after="160" w:line="276" w:lineRule="auto"/>
              <w:jc w:val="center"/>
              <w:rPr>
                <w:rFonts w:ascii="Century Gothic" w:eastAsia="Calibri" w:hAnsi="Century Gothic" w:cs="Calibri"/>
                <w:b/>
                <w:color w:val="FFFFFF"/>
                <w:sz w:val="16"/>
                <w:szCs w:val="16"/>
                <w:lang w:val="es-419" w:eastAsia="en-US"/>
              </w:rPr>
            </w:pPr>
            <w:r w:rsidRPr="00421077">
              <w:rPr>
                <w:rFonts w:ascii="Century Gothic" w:eastAsia="Calibri" w:hAnsi="Century Gothic" w:cs="Calibri"/>
                <w:b/>
                <w:color w:val="FFFFFF"/>
                <w:sz w:val="16"/>
                <w:szCs w:val="16"/>
                <w:lang w:val="es-419" w:eastAsia="en-US"/>
              </w:rPr>
              <w:t>PERIODO</w:t>
            </w:r>
          </w:p>
        </w:tc>
      </w:tr>
      <w:tr w:rsidR="00421077" w:rsidRPr="00421077" w:rsidTr="00C33612">
        <w:trPr>
          <w:trHeight w:val="5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2010</w:t>
            </w:r>
          </w:p>
        </w:tc>
        <w:tc>
          <w:tcPr>
            <w:tcW w:w="2998"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sz w:val="16"/>
                <w:szCs w:val="16"/>
                <w:lang w:val="es-419" w:eastAsia="en-US"/>
              </w:rPr>
            </w:pPr>
            <w:r w:rsidRPr="00421077">
              <w:rPr>
                <w:rFonts w:ascii="Century Gothic" w:eastAsia="Calibri" w:hAnsi="Century Gothic" w:cs="Calibri"/>
                <w:sz w:val="16"/>
                <w:szCs w:val="16"/>
                <w:lang w:val="es-419" w:eastAsia="en-US"/>
              </w:rPr>
              <w:t>Tepatlaxco de Hidalgo</w:t>
            </w:r>
          </w:p>
        </w:tc>
        <w:tc>
          <w:tcPr>
            <w:tcW w:w="3119"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sz w:val="16"/>
                <w:szCs w:val="16"/>
                <w:lang w:val="es-419" w:eastAsia="en-US"/>
              </w:rPr>
            </w:pPr>
            <w:r w:rsidRPr="00421077">
              <w:rPr>
                <w:rFonts w:ascii="Century Gothic" w:eastAsia="Calibri" w:hAnsi="Century Gothic" w:cs="Calibri"/>
                <w:sz w:val="16"/>
                <w:szCs w:val="16"/>
                <w:lang w:val="es-419" w:eastAsia="en-US"/>
              </w:rPr>
              <w:t>Horacio de los Santos Francisco</w:t>
            </w:r>
          </w:p>
        </w:tc>
        <w:tc>
          <w:tcPr>
            <w:tcW w:w="1701" w:type="dxa"/>
            <w:tcBorders>
              <w:top w:val="single" w:sz="4" w:space="0" w:color="auto"/>
              <w:left w:val="nil"/>
              <w:bottom w:val="single" w:sz="4" w:space="0" w:color="auto"/>
              <w:right w:val="single" w:sz="4" w:space="0" w:color="auto"/>
            </w:tcBorders>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1 ENE - 31 DIC</w:t>
            </w:r>
          </w:p>
        </w:tc>
      </w:tr>
      <w:tr w:rsidR="00421077" w:rsidRPr="00421077" w:rsidTr="00C33612">
        <w:trPr>
          <w:trHeight w:val="58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2011</w:t>
            </w:r>
          </w:p>
        </w:tc>
        <w:tc>
          <w:tcPr>
            <w:tcW w:w="2998"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sz w:val="16"/>
                <w:szCs w:val="16"/>
                <w:lang w:val="es-419" w:eastAsia="en-US"/>
              </w:rPr>
            </w:pPr>
            <w:r w:rsidRPr="00421077">
              <w:rPr>
                <w:rFonts w:ascii="Century Gothic" w:eastAsia="Calibri" w:hAnsi="Century Gothic" w:cs="Calibri"/>
                <w:sz w:val="16"/>
                <w:szCs w:val="16"/>
                <w:lang w:val="es-419" w:eastAsia="en-US"/>
              </w:rPr>
              <w:t>Tepatlaxco de Hidalgo</w:t>
            </w:r>
          </w:p>
        </w:tc>
        <w:tc>
          <w:tcPr>
            <w:tcW w:w="3119"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sz w:val="16"/>
                <w:szCs w:val="16"/>
                <w:lang w:val="es-419" w:eastAsia="en-US"/>
              </w:rPr>
            </w:pPr>
            <w:r w:rsidRPr="00421077">
              <w:rPr>
                <w:rFonts w:ascii="Century Gothic" w:eastAsia="Calibri" w:hAnsi="Century Gothic" w:cs="Calibri"/>
                <w:sz w:val="16"/>
                <w:szCs w:val="16"/>
                <w:lang w:val="es-419" w:eastAsia="en-US"/>
              </w:rPr>
              <w:t>Horacio de los Santos Francisco</w:t>
            </w:r>
          </w:p>
        </w:tc>
        <w:tc>
          <w:tcPr>
            <w:tcW w:w="1701" w:type="dxa"/>
            <w:tcBorders>
              <w:top w:val="single" w:sz="4" w:space="0" w:color="auto"/>
              <w:left w:val="nil"/>
              <w:bottom w:val="single" w:sz="4" w:space="0" w:color="auto"/>
              <w:right w:val="single" w:sz="4" w:space="0" w:color="auto"/>
            </w:tcBorders>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1 ENE – 14 FEB</w:t>
            </w:r>
          </w:p>
        </w:tc>
      </w:tr>
      <w:tr w:rsidR="00421077" w:rsidRPr="00421077" w:rsidTr="00C33612">
        <w:trPr>
          <w:trHeight w:val="56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2012</w:t>
            </w:r>
          </w:p>
        </w:tc>
        <w:tc>
          <w:tcPr>
            <w:tcW w:w="2998"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Ayuntamiento de Zaragoza</w:t>
            </w:r>
          </w:p>
        </w:tc>
        <w:tc>
          <w:tcPr>
            <w:tcW w:w="3119"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Oscar Edgardo Tabales Contreras</w:t>
            </w:r>
          </w:p>
        </w:tc>
        <w:tc>
          <w:tcPr>
            <w:tcW w:w="1701" w:type="dxa"/>
            <w:tcBorders>
              <w:top w:val="single" w:sz="4" w:space="0" w:color="auto"/>
              <w:left w:val="nil"/>
              <w:bottom w:val="single" w:sz="4" w:space="0" w:color="auto"/>
              <w:right w:val="single" w:sz="4" w:space="0" w:color="auto"/>
            </w:tcBorders>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1 ENE - 31 DIC</w:t>
            </w:r>
          </w:p>
        </w:tc>
      </w:tr>
      <w:tr w:rsidR="00421077" w:rsidRPr="00421077" w:rsidTr="00C33612">
        <w:trPr>
          <w:trHeight w:val="1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2009</w:t>
            </w:r>
          </w:p>
        </w:tc>
        <w:tc>
          <w:tcPr>
            <w:tcW w:w="2998"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Director del Sistema Operador de los Servicios de Agua Potable y Alcantarillado del Municipio de Tepeaca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Alejandro Flores Flores</w:t>
            </w:r>
          </w:p>
        </w:tc>
        <w:tc>
          <w:tcPr>
            <w:tcW w:w="1701" w:type="dxa"/>
            <w:tcBorders>
              <w:top w:val="single" w:sz="4" w:space="0" w:color="auto"/>
              <w:left w:val="nil"/>
              <w:bottom w:val="single" w:sz="4" w:space="0" w:color="auto"/>
              <w:right w:val="single" w:sz="4" w:space="0" w:color="auto"/>
            </w:tcBorders>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1 ENE – 30 ABR</w:t>
            </w:r>
          </w:p>
        </w:tc>
      </w:tr>
      <w:tr w:rsidR="00421077" w:rsidRPr="00421077" w:rsidTr="00C33612">
        <w:trPr>
          <w:trHeight w:val="84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2012</w:t>
            </w:r>
          </w:p>
        </w:tc>
        <w:tc>
          <w:tcPr>
            <w:tcW w:w="2998"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Ayuntamiento de Chalchicomula de Sesma</w:t>
            </w:r>
          </w:p>
        </w:tc>
        <w:tc>
          <w:tcPr>
            <w:tcW w:w="3119"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José Raúl Zárate Mata</w:t>
            </w:r>
          </w:p>
        </w:tc>
        <w:tc>
          <w:tcPr>
            <w:tcW w:w="1701" w:type="dxa"/>
            <w:tcBorders>
              <w:top w:val="single" w:sz="4" w:space="0" w:color="auto"/>
              <w:left w:val="nil"/>
              <w:bottom w:val="single" w:sz="4" w:space="0" w:color="auto"/>
              <w:right w:val="single" w:sz="4" w:space="0" w:color="auto"/>
            </w:tcBorders>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1 ENE – 31 DIC</w:t>
            </w:r>
          </w:p>
        </w:tc>
      </w:tr>
      <w:tr w:rsidR="00421077" w:rsidRPr="00421077" w:rsidTr="00C33612">
        <w:trPr>
          <w:trHeight w:val="78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2011</w:t>
            </w:r>
          </w:p>
        </w:tc>
        <w:tc>
          <w:tcPr>
            <w:tcW w:w="2998"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Ayuntamiento de San Pedro Yeloixtlahuaca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Martin Rafael Martínez Ríos</w:t>
            </w:r>
          </w:p>
        </w:tc>
        <w:tc>
          <w:tcPr>
            <w:tcW w:w="1701" w:type="dxa"/>
            <w:tcBorders>
              <w:top w:val="single" w:sz="4" w:space="0" w:color="auto"/>
              <w:left w:val="nil"/>
              <w:bottom w:val="single" w:sz="4" w:space="0" w:color="auto"/>
              <w:right w:val="single" w:sz="4" w:space="0" w:color="auto"/>
            </w:tcBorders>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1 ENE – 14 FEB</w:t>
            </w:r>
          </w:p>
        </w:tc>
      </w:tr>
      <w:tr w:rsidR="00421077" w:rsidRPr="00421077" w:rsidTr="00C33612">
        <w:trPr>
          <w:trHeight w:val="8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2011</w:t>
            </w:r>
          </w:p>
        </w:tc>
        <w:tc>
          <w:tcPr>
            <w:tcW w:w="2998"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Ayuntamiento de San Pedro Yeloixtlahuaca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Pedro Arturo Reyes Vargas</w:t>
            </w:r>
          </w:p>
        </w:tc>
        <w:tc>
          <w:tcPr>
            <w:tcW w:w="1701" w:type="dxa"/>
            <w:tcBorders>
              <w:top w:val="single" w:sz="4" w:space="0" w:color="auto"/>
              <w:left w:val="nil"/>
              <w:bottom w:val="single" w:sz="4" w:space="0" w:color="auto"/>
              <w:right w:val="single" w:sz="4" w:space="0" w:color="auto"/>
            </w:tcBorders>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15 FEB – 31 DIC</w:t>
            </w:r>
          </w:p>
        </w:tc>
      </w:tr>
      <w:tr w:rsidR="00421077" w:rsidRPr="00421077" w:rsidTr="00C33612">
        <w:trPr>
          <w:trHeight w:val="77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2012</w:t>
            </w:r>
          </w:p>
        </w:tc>
        <w:tc>
          <w:tcPr>
            <w:tcW w:w="2998"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Ayuntamiento de San Pedro Yeloixtlahuaca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Pedro Arturo Reyes Vargas</w:t>
            </w:r>
          </w:p>
        </w:tc>
        <w:tc>
          <w:tcPr>
            <w:tcW w:w="1701" w:type="dxa"/>
            <w:tcBorders>
              <w:top w:val="single" w:sz="4" w:space="0" w:color="auto"/>
              <w:left w:val="nil"/>
              <w:bottom w:val="single" w:sz="4" w:space="0" w:color="auto"/>
              <w:right w:val="single" w:sz="4" w:space="0" w:color="auto"/>
            </w:tcBorders>
            <w:vAlign w:val="center"/>
          </w:tcPr>
          <w:p w:rsidR="00421077" w:rsidRPr="00421077" w:rsidRDefault="00421077" w:rsidP="00421077">
            <w:pPr>
              <w:spacing w:after="160" w:line="276" w:lineRule="auto"/>
              <w:jc w:val="center"/>
              <w:rPr>
                <w:rFonts w:ascii="Century Gothic" w:eastAsia="Calibri" w:hAnsi="Century Gothic" w:cs="Calibri"/>
                <w:color w:val="000000"/>
                <w:sz w:val="16"/>
                <w:szCs w:val="16"/>
                <w:lang w:val="es-419" w:eastAsia="en-US"/>
              </w:rPr>
            </w:pPr>
            <w:r w:rsidRPr="00421077">
              <w:rPr>
                <w:rFonts w:ascii="Century Gothic" w:eastAsia="Calibri" w:hAnsi="Century Gothic" w:cs="Calibri"/>
                <w:color w:val="000000"/>
                <w:sz w:val="16"/>
                <w:szCs w:val="16"/>
                <w:lang w:val="es-419" w:eastAsia="en-US"/>
              </w:rPr>
              <w:t>1 ENE – 31 DIC</w:t>
            </w:r>
          </w:p>
        </w:tc>
      </w:tr>
    </w:tbl>
    <w:p w:rsidR="00421077" w:rsidRDefault="00421077" w:rsidP="00421077">
      <w:pPr>
        <w:jc w:val="both"/>
        <w:rPr>
          <w:rFonts w:ascii="Tahoma" w:eastAsiaTheme="minorHAnsi" w:hAnsi="Tahoma" w:cs="Tahoma"/>
          <w:b/>
          <w:sz w:val="22"/>
          <w:szCs w:val="22"/>
          <w:lang w:val="es-MX" w:eastAsia="en-US"/>
        </w:rPr>
      </w:pPr>
    </w:p>
    <w:p w:rsidR="00421077" w:rsidRPr="00421077" w:rsidRDefault="00421077" w:rsidP="00421077">
      <w:pPr>
        <w:jc w:val="both"/>
        <w:rPr>
          <w:rFonts w:ascii="Tahoma" w:eastAsiaTheme="minorHAnsi" w:hAnsi="Tahoma" w:cs="Tahoma"/>
          <w:sz w:val="22"/>
          <w:szCs w:val="22"/>
          <w:lang w:val="es-MX" w:eastAsia="en-US"/>
        </w:rPr>
      </w:pPr>
    </w:p>
    <w:p w:rsidR="00B05CA1" w:rsidRPr="004678D7" w:rsidRDefault="00B05CA1" w:rsidP="0019018F">
      <w:pPr>
        <w:widowControl w:val="0"/>
        <w:spacing w:after="160"/>
        <w:jc w:val="both"/>
        <w:rPr>
          <w:rFonts w:ascii="Tahoma" w:eastAsia="Calibri" w:hAnsi="Tahoma" w:cs="Tahoma"/>
          <w:lang w:val="es-419" w:eastAsia="en-US"/>
        </w:rPr>
      </w:pPr>
      <w:r w:rsidRPr="004678D7">
        <w:rPr>
          <w:rFonts w:ascii="Tahoma" w:eastAsia="Calibri" w:hAnsi="Tahoma" w:cs="Tahoma"/>
          <w:b/>
          <w:lang w:val="es-419" w:eastAsia="en-US"/>
        </w:rPr>
        <w:t>8.</w:t>
      </w:r>
      <w:r w:rsidR="004678D7" w:rsidRPr="004678D7">
        <w:rPr>
          <w:rFonts w:ascii="Tahoma" w:eastAsia="Calibri" w:hAnsi="Tahoma" w:cs="Tahoma"/>
          <w:b/>
          <w:lang w:val="es-419" w:eastAsia="en-US"/>
        </w:rPr>
        <w:t>-</w:t>
      </w:r>
      <w:r w:rsidR="004678D7">
        <w:rPr>
          <w:rFonts w:ascii="Tahoma" w:eastAsia="Calibri" w:hAnsi="Tahoma" w:cs="Tahoma"/>
          <w:lang w:val="es-419" w:eastAsia="en-US"/>
        </w:rPr>
        <w:t xml:space="preserve"> </w:t>
      </w:r>
      <w:r w:rsidRPr="004678D7">
        <w:rPr>
          <w:rFonts w:ascii="Tahoma" w:eastAsia="Calibri" w:hAnsi="Tahoma" w:cs="Tahoma"/>
          <w:lang w:val="es-419" w:eastAsia="en-US"/>
        </w:rPr>
        <w:t xml:space="preserve">Acuerdo del Dip. Emilio Ernesto Maurer Espinosa por el que solicita a la Auditoria Superior del Estado un informe pormenorizado sobre el cumplimiento del proceso administrativo y judicial del Decreto de Inhabilitación del C. Porfirio Loeza Aguilar expresidente del Municipio de Tlatlauquitepec, Puebla, para los efectos legales a que haya lugar. </w:t>
      </w:r>
    </w:p>
    <w:p w:rsidR="00B05CA1" w:rsidRPr="004678D7" w:rsidRDefault="00B05CA1" w:rsidP="0019018F">
      <w:pPr>
        <w:widowControl w:val="0"/>
        <w:spacing w:after="160"/>
        <w:jc w:val="both"/>
        <w:rPr>
          <w:rFonts w:ascii="Tahoma" w:eastAsia="Calibri" w:hAnsi="Tahoma" w:cs="Tahoma"/>
          <w:lang w:val="es-419" w:eastAsia="en-US"/>
        </w:rPr>
      </w:pPr>
      <w:r w:rsidRPr="004678D7">
        <w:rPr>
          <w:rFonts w:ascii="Tahoma" w:eastAsia="Calibri" w:hAnsi="Tahoma" w:cs="Tahoma"/>
          <w:lang w:val="es-419" w:eastAsia="en-US"/>
        </w:rPr>
        <w:t xml:space="preserve"> </w:t>
      </w:r>
    </w:p>
    <w:p w:rsidR="00421077" w:rsidRPr="004678D7" w:rsidRDefault="00B05CA1" w:rsidP="0019018F">
      <w:pPr>
        <w:widowControl w:val="0"/>
        <w:spacing w:after="160"/>
        <w:jc w:val="both"/>
        <w:rPr>
          <w:rFonts w:ascii="Tahoma" w:eastAsia="Calibri" w:hAnsi="Tahoma" w:cs="Tahoma"/>
          <w:lang w:val="es-419" w:eastAsia="en-US"/>
        </w:rPr>
      </w:pPr>
      <w:r w:rsidRPr="004678D7">
        <w:rPr>
          <w:rFonts w:ascii="Tahoma" w:eastAsia="Calibri" w:hAnsi="Tahoma" w:cs="Tahoma"/>
          <w:b/>
          <w:lang w:val="es-419" w:eastAsia="en-US"/>
        </w:rPr>
        <w:t>9.</w:t>
      </w:r>
      <w:r w:rsidR="004678D7" w:rsidRPr="004678D7">
        <w:rPr>
          <w:rFonts w:ascii="Tahoma" w:eastAsia="Calibri" w:hAnsi="Tahoma" w:cs="Tahoma"/>
          <w:b/>
          <w:lang w:val="es-419" w:eastAsia="en-US"/>
        </w:rPr>
        <w:t>-</w:t>
      </w:r>
      <w:r w:rsidR="004678D7">
        <w:rPr>
          <w:rFonts w:ascii="Tahoma" w:eastAsia="Calibri" w:hAnsi="Tahoma" w:cs="Tahoma"/>
          <w:lang w:val="es-419" w:eastAsia="en-US"/>
        </w:rPr>
        <w:t xml:space="preserve"> </w:t>
      </w:r>
      <w:r w:rsidRPr="004678D7">
        <w:rPr>
          <w:rFonts w:ascii="Tahoma" w:eastAsia="Calibri" w:hAnsi="Tahoma" w:cs="Tahoma"/>
          <w:lang w:val="es-419" w:eastAsia="en-US"/>
        </w:rPr>
        <w:t>Asuntos Generales.</w:t>
      </w:r>
    </w:p>
    <w:p w:rsidR="008F3882" w:rsidRPr="00DE42B0" w:rsidRDefault="008F3882" w:rsidP="00DE42B0">
      <w:pPr>
        <w:spacing w:before="120" w:after="120"/>
        <w:jc w:val="both"/>
        <w:rPr>
          <w:rFonts w:ascii="Tahoma" w:eastAsiaTheme="minorHAnsi" w:hAnsi="Tahoma" w:cs="Tahoma"/>
          <w:lang w:val="es-MX" w:eastAsia="en-US"/>
        </w:rPr>
      </w:pPr>
    </w:p>
    <w:sectPr w:rsidR="008F3882" w:rsidRPr="00DE42B0">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FA0" w:rsidRDefault="00845FA0">
      <w:r>
        <w:separator/>
      </w:r>
    </w:p>
  </w:endnote>
  <w:endnote w:type="continuationSeparator" w:id="0">
    <w:p w:rsidR="00845FA0" w:rsidRDefault="0084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onotype Corsiva">
    <w:altName w:val="Brush Script MT"/>
    <w:panose1 w:val="020B06040202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FA0" w:rsidRDefault="00845FA0">
      <w:r>
        <w:separator/>
      </w:r>
    </w:p>
  </w:footnote>
  <w:footnote w:type="continuationSeparator" w:id="0">
    <w:p w:rsidR="00845FA0" w:rsidRDefault="00845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FC3C37">
    <w:pPr>
      <w:pStyle w:val="Encabezado"/>
      <w:tabs>
        <w:tab w:val="clear" w:pos="8504"/>
      </w:tabs>
      <w:spacing w:line="140" w:lineRule="atLeast"/>
      <w:ind w:right="-316"/>
      <w:jc w:val="center"/>
      <w:rPr>
        <w:rFonts w:ascii="Bradley Hand ITC" w:hAnsi="Bradley Hand ITC"/>
        <w:sz w:val="20"/>
        <w:szCs w:val="20"/>
      </w:rPr>
    </w:pPr>
    <w:r>
      <w:rPr>
        <w:rFonts w:ascii="Tahoma" w:hAnsi="Tahoma" w:cs="Tahoma"/>
        <w:b/>
        <w:bCs/>
        <w:noProof/>
        <w:sz w:val="34"/>
        <w:szCs w:val="34"/>
      </w:rPr>
      <w:drawing>
        <wp:anchor distT="0" distB="0" distL="114300" distR="114300" simplePos="0" relativeHeight="251658240" behindDoc="1" locked="0" layoutInCell="1" allowOverlap="1" wp14:anchorId="03459A7F">
          <wp:simplePos x="0" y="0"/>
          <wp:positionH relativeFrom="margin">
            <wp:posOffset>-635</wp:posOffset>
          </wp:positionH>
          <wp:positionV relativeFrom="paragraph">
            <wp:posOffset>62865</wp:posOffset>
          </wp:positionV>
          <wp:extent cx="1076325" cy="131722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317226"/>
                  </a:xfrm>
                  <a:prstGeom prst="rect">
                    <a:avLst/>
                  </a:prstGeom>
                  <a:noFill/>
                </pic:spPr>
              </pic:pic>
            </a:graphicData>
          </a:graphic>
          <wp14:sizeRelH relativeFrom="page">
            <wp14:pctWidth>0</wp14:pctWidth>
          </wp14:sizeRelH>
          <wp14:sizeRelV relativeFrom="page">
            <wp14:pctHeight>0</wp14:pctHeight>
          </wp14:sizeRelV>
        </wp:anchor>
      </w:drawing>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rsidR="001160F1" w:rsidRPr="003A7AA5" w:rsidRDefault="00BC142C"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COMISIÓN INSPECTORA DE LA AUDITORÍA SUPERIOR DEL ESTADO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7" w15:restartNumberingAfterBreak="0">
    <w:nsid w:val="5BD0A6A3"/>
    <w:multiLevelType w:val="multilevel"/>
    <w:tmpl w:val="03866DD6"/>
    <w:lvl w:ilvl="0">
      <w:start w:val="1"/>
      <w:numFmt w:val="decimal"/>
      <w:suff w:val="nothing"/>
      <w:lvlText w:val="%1."/>
      <w:lvlJc w:val="left"/>
      <w:rPr>
        <w:rFonts w:ascii="Arial" w:eastAsiaTheme="minorHAnsi" w:hAnsi="Arial" w:cs="Arial"/>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7C66B8-F626-4098-BF88-E7D25C832C2E}"/>
    <w:docVar w:name="dgnword-eventsink" w:val="384554608"/>
  </w:docVars>
  <w:rsids>
    <w:rsidRoot w:val="00834570"/>
    <w:rsid w:val="00001824"/>
    <w:rsid w:val="00010155"/>
    <w:rsid w:val="00023C6C"/>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7321D"/>
    <w:rsid w:val="001877A0"/>
    <w:rsid w:val="0019018F"/>
    <w:rsid w:val="00192B99"/>
    <w:rsid w:val="001A560F"/>
    <w:rsid w:val="001B1043"/>
    <w:rsid w:val="001C4A5B"/>
    <w:rsid w:val="001C5850"/>
    <w:rsid w:val="001D0E3A"/>
    <w:rsid w:val="001D3F97"/>
    <w:rsid w:val="001E5F6E"/>
    <w:rsid w:val="00210B58"/>
    <w:rsid w:val="00216515"/>
    <w:rsid w:val="002239FB"/>
    <w:rsid w:val="002346E2"/>
    <w:rsid w:val="00240CFA"/>
    <w:rsid w:val="0024437A"/>
    <w:rsid w:val="00260463"/>
    <w:rsid w:val="00273E08"/>
    <w:rsid w:val="00281575"/>
    <w:rsid w:val="00287D89"/>
    <w:rsid w:val="00297BF5"/>
    <w:rsid w:val="002A2954"/>
    <w:rsid w:val="002B6A4A"/>
    <w:rsid w:val="002D673C"/>
    <w:rsid w:val="003215EF"/>
    <w:rsid w:val="00335B2E"/>
    <w:rsid w:val="003577A9"/>
    <w:rsid w:val="00361FFE"/>
    <w:rsid w:val="003640B2"/>
    <w:rsid w:val="00377E9C"/>
    <w:rsid w:val="00395462"/>
    <w:rsid w:val="003A7AA5"/>
    <w:rsid w:val="003B3242"/>
    <w:rsid w:val="00405F1A"/>
    <w:rsid w:val="004104ED"/>
    <w:rsid w:val="00411A3A"/>
    <w:rsid w:val="00421077"/>
    <w:rsid w:val="0045074C"/>
    <w:rsid w:val="004615D0"/>
    <w:rsid w:val="0046176A"/>
    <w:rsid w:val="004622AE"/>
    <w:rsid w:val="004678D7"/>
    <w:rsid w:val="00481CD7"/>
    <w:rsid w:val="004B357C"/>
    <w:rsid w:val="004B7023"/>
    <w:rsid w:val="004D2ACD"/>
    <w:rsid w:val="004D2F12"/>
    <w:rsid w:val="004F29A2"/>
    <w:rsid w:val="004F475F"/>
    <w:rsid w:val="004F7BC9"/>
    <w:rsid w:val="00501A7D"/>
    <w:rsid w:val="0051254C"/>
    <w:rsid w:val="00515B0D"/>
    <w:rsid w:val="00524A14"/>
    <w:rsid w:val="00533B2E"/>
    <w:rsid w:val="005358F3"/>
    <w:rsid w:val="0054373D"/>
    <w:rsid w:val="00553DE3"/>
    <w:rsid w:val="00557ADF"/>
    <w:rsid w:val="00577730"/>
    <w:rsid w:val="0058175B"/>
    <w:rsid w:val="00593CAE"/>
    <w:rsid w:val="00595A3F"/>
    <w:rsid w:val="00595DA5"/>
    <w:rsid w:val="005C1232"/>
    <w:rsid w:val="005C6FE9"/>
    <w:rsid w:val="005F502E"/>
    <w:rsid w:val="005F5D6D"/>
    <w:rsid w:val="0060173E"/>
    <w:rsid w:val="006123A7"/>
    <w:rsid w:val="0062135F"/>
    <w:rsid w:val="006268C1"/>
    <w:rsid w:val="00641D0A"/>
    <w:rsid w:val="00670605"/>
    <w:rsid w:val="00674A9D"/>
    <w:rsid w:val="006877AE"/>
    <w:rsid w:val="006A06E9"/>
    <w:rsid w:val="006A5C8D"/>
    <w:rsid w:val="006B1D4C"/>
    <w:rsid w:val="006C33A3"/>
    <w:rsid w:val="006E05FF"/>
    <w:rsid w:val="006E11A6"/>
    <w:rsid w:val="006F2FB2"/>
    <w:rsid w:val="006F51D2"/>
    <w:rsid w:val="006F759F"/>
    <w:rsid w:val="007013CC"/>
    <w:rsid w:val="00701819"/>
    <w:rsid w:val="00730E6C"/>
    <w:rsid w:val="007313C4"/>
    <w:rsid w:val="00755F5F"/>
    <w:rsid w:val="00755F8D"/>
    <w:rsid w:val="00767460"/>
    <w:rsid w:val="00775E35"/>
    <w:rsid w:val="007922E7"/>
    <w:rsid w:val="007A08F4"/>
    <w:rsid w:val="007A7990"/>
    <w:rsid w:val="007B058A"/>
    <w:rsid w:val="007B3E49"/>
    <w:rsid w:val="007B41EB"/>
    <w:rsid w:val="007C0B07"/>
    <w:rsid w:val="007F280F"/>
    <w:rsid w:val="008052A8"/>
    <w:rsid w:val="00830EEF"/>
    <w:rsid w:val="00834570"/>
    <w:rsid w:val="00834D31"/>
    <w:rsid w:val="00845FA0"/>
    <w:rsid w:val="00884093"/>
    <w:rsid w:val="00887C41"/>
    <w:rsid w:val="008956A4"/>
    <w:rsid w:val="008A0527"/>
    <w:rsid w:val="008E629A"/>
    <w:rsid w:val="008F3882"/>
    <w:rsid w:val="00903DAA"/>
    <w:rsid w:val="009152A9"/>
    <w:rsid w:val="0091615D"/>
    <w:rsid w:val="00920F1A"/>
    <w:rsid w:val="009418E7"/>
    <w:rsid w:val="00947E01"/>
    <w:rsid w:val="009525EE"/>
    <w:rsid w:val="009551D3"/>
    <w:rsid w:val="00967A29"/>
    <w:rsid w:val="0097600D"/>
    <w:rsid w:val="00987846"/>
    <w:rsid w:val="00987CF2"/>
    <w:rsid w:val="009C61E6"/>
    <w:rsid w:val="009D269B"/>
    <w:rsid w:val="009D315D"/>
    <w:rsid w:val="009F6FD3"/>
    <w:rsid w:val="00A033E6"/>
    <w:rsid w:val="00A0539B"/>
    <w:rsid w:val="00A05B07"/>
    <w:rsid w:val="00A640C1"/>
    <w:rsid w:val="00A664A5"/>
    <w:rsid w:val="00A71522"/>
    <w:rsid w:val="00A97D58"/>
    <w:rsid w:val="00AA4C7C"/>
    <w:rsid w:val="00AB492F"/>
    <w:rsid w:val="00AB5939"/>
    <w:rsid w:val="00AB5B98"/>
    <w:rsid w:val="00AC1AAB"/>
    <w:rsid w:val="00AC6C32"/>
    <w:rsid w:val="00AD13F0"/>
    <w:rsid w:val="00AD34F9"/>
    <w:rsid w:val="00AE73EB"/>
    <w:rsid w:val="00AE7BBD"/>
    <w:rsid w:val="00AF0FFB"/>
    <w:rsid w:val="00AF13F3"/>
    <w:rsid w:val="00B05CA1"/>
    <w:rsid w:val="00B5278D"/>
    <w:rsid w:val="00B6511F"/>
    <w:rsid w:val="00B85000"/>
    <w:rsid w:val="00B85795"/>
    <w:rsid w:val="00B87099"/>
    <w:rsid w:val="00BA0D81"/>
    <w:rsid w:val="00BA2B06"/>
    <w:rsid w:val="00BB2F21"/>
    <w:rsid w:val="00BC142C"/>
    <w:rsid w:val="00BD4C01"/>
    <w:rsid w:val="00BE5EAA"/>
    <w:rsid w:val="00BF1185"/>
    <w:rsid w:val="00C10F95"/>
    <w:rsid w:val="00C14137"/>
    <w:rsid w:val="00C34DE0"/>
    <w:rsid w:val="00C7208E"/>
    <w:rsid w:val="00C839F8"/>
    <w:rsid w:val="00CD6E3E"/>
    <w:rsid w:val="00CE1CEA"/>
    <w:rsid w:val="00D25909"/>
    <w:rsid w:val="00D27C23"/>
    <w:rsid w:val="00D30B3B"/>
    <w:rsid w:val="00D328A0"/>
    <w:rsid w:val="00D422BA"/>
    <w:rsid w:val="00D509B3"/>
    <w:rsid w:val="00D51B9A"/>
    <w:rsid w:val="00D526F7"/>
    <w:rsid w:val="00D62BAE"/>
    <w:rsid w:val="00D9436E"/>
    <w:rsid w:val="00DA22DE"/>
    <w:rsid w:val="00DA3C30"/>
    <w:rsid w:val="00DB0A08"/>
    <w:rsid w:val="00DB3D80"/>
    <w:rsid w:val="00DB4EEB"/>
    <w:rsid w:val="00DC11C3"/>
    <w:rsid w:val="00DD5A9F"/>
    <w:rsid w:val="00DD5C8D"/>
    <w:rsid w:val="00DE00E1"/>
    <w:rsid w:val="00DE0915"/>
    <w:rsid w:val="00DE238D"/>
    <w:rsid w:val="00DE424A"/>
    <w:rsid w:val="00DE42B0"/>
    <w:rsid w:val="00E0058E"/>
    <w:rsid w:val="00E17429"/>
    <w:rsid w:val="00E233CD"/>
    <w:rsid w:val="00E35DDB"/>
    <w:rsid w:val="00E44ABC"/>
    <w:rsid w:val="00E60CA0"/>
    <w:rsid w:val="00EA6705"/>
    <w:rsid w:val="00EC61E5"/>
    <w:rsid w:val="00ED6457"/>
    <w:rsid w:val="00EE253D"/>
    <w:rsid w:val="00EF5152"/>
    <w:rsid w:val="00F1199A"/>
    <w:rsid w:val="00F23E7C"/>
    <w:rsid w:val="00F372E3"/>
    <w:rsid w:val="00F52DAE"/>
    <w:rsid w:val="00FB2A05"/>
    <w:rsid w:val="00FC1CF3"/>
    <w:rsid w:val="00FC3C37"/>
    <w:rsid w:val="00FD26CF"/>
    <w:rsid w:val="00FE454C"/>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ED651"/>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07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styleId="Textodeglobo">
    <w:name w:val="Balloon Text"/>
    <w:basedOn w:val="Normal"/>
    <w:link w:val="TextodegloboCar"/>
    <w:uiPriority w:val="99"/>
    <w:semiHidden/>
    <w:unhideWhenUsed/>
    <w:rsid w:val="006C33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3A3"/>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89504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15</cp:revision>
  <cp:lastPrinted>2018-10-03T16:55:00Z</cp:lastPrinted>
  <dcterms:created xsi:type="dcterms:W3CDTF">2018-11-26T18:33:00Z</dcterms:created>
  <dcterms:modified xsi:type="dcterms:W3CDTF">2018-11-27T04:09:00Z</dcterms:modified>
</cp:coreProperties>
</file>