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D73" w:rsidRPr="00ED6457" w:rsidRDefault="009F6FD3" w:rsidP="00D07D7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D02BA6">
        <w:rPr>
          <w:rFonts w:ascii="Tahoma" w:hAnsi="Tahoma" w:cs="Tahoma"/>
          <w:sz w:val="20"/>
          <w:szCs w:val="20"/>
        </w:rPr>
        <w:t>3 de abril</w:t>
      </w:r>
      <w:r w:rsidR="009305A6">
        <w:rPr>
          <w:rFonts w:ascii="Tahoma" w:hAnsi="Tahoma" w:cs="Tahoma"/>
          <w:sz w:val="20"/>
          <w:szCs w:val="20"/>
        </w:rPr>
        <w:t xml:space="preserve"> de 2019</w:t>
      </w:r>
    </w:p>
    <w:p w:rsidR="00834570" w:rsidRPr="00ED6457" w:rsidRDefault="00A97D58" w:rsidP="009305A6">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277121">
        <w:rPr>
          <w:rFonts w:ascii="Tahoma" w:hAnsi="Tahoma" w:cs="Tahoma"/>
          <w:sz w:val="20"/>
          <w:szCs w:val="20"/>
        </w:rPr>
        <w:t xml:space="preserve">Sala </w:t>
      </w:r>
      <w:r w:rsidR="00543075">
        <w:rPr>
          <w:rFonts w:ascii="Tahoma" w:hAnsi="Tahoma" w:cs="Tahoma"/>
          <w:sz w:val="20"/>
          <w:szCs w:val="20"/>
        </w:rPr>
        <w:t>“</w:t>
      </w:r>
      <w:r w:rsidR="00D27FEE">
        <w:rPr>
          <w:rFonts w:ascii="Tahoma" w:hAnsi="Tahoma" w:cs="Tahoma"/>
          <w:sz w:val="20"/>
          <w:szCs w:val="20"/>
        </w:rPr>
        <w:t>Legisladores de Puebla</w:t>
      </w:r>
      <w:r w:rsidR="00543075">
        <w:rPr>
          <w:rFonts w:ascii="Tahoma" w:hAnsi="Tahoma" w:cs="Tahoma"/>
          <w:sz w:val="20"/>
          <w:szCs w:val="20"/>
        </w:rPr>
        <w:t xml:space="preserve">” </w:t>
      </w:r>
      <w:r w:rsidR="00973DCD">
        <w:rPr>
          <w:rFonts w:ascii="Tahoma" w:hAnsi="Tahoma" w:cs="Tahoma"/>
          <w:sz w:val="20"/>
          <w:szCs w:val="20"/>
        </w:rPr>
        <w:t>1</w:t>
      </w:r>
      <w:r w:rsidR="00D02BA6">
        <w:rPr>
          <w:rFonts w:ascii="Tahoma" w:hAnsi="Tahoma" w:cs="Tahoma"/>
          <w:sz w:val="20"/>
          <w:szCs w:val="20"/>
        </w:rPr>
        <w:t>1</w:t>
      </w:r>
      <w:r w:rsidR="00CD2EAF">
        <w:rPr>
          <w:rFonts w:ascii="Tahoma" w:hAnsi="Tahoma" w:cs="Tahoma"/>
          <w:sz w:val="20"/>
          <w:szCs w:val="20"/>
        </w:rPr>
        <w:t>:00</w:t>
      </w:r>
      <w:r w:rsidR="00973DCD">
        <w:rPr>
          <w:rFonts w:ascii="Tahoma" w:hAnsi="Tahoma" w:cs="Tahoma"/>
          <w:sz w:val="20"/>
          <w:szCs w:val="20"/>
        </w:rPr>
        <w:t xml:space="preserve"> horas</w:t>
      </w:r>
    </w:p>
    <w:p w:rsidR="00834570" w:rsidRPr="007E164F" w:rsidRDefault="00DC11C3" w:rsidP="007E164F">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6A56B9" w:rsidRDefault="001A560F" w:rsidP="007E164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7E164F" w:rsidRPr="007E164F" w:rsidRDefault="007E164F" w:rsidP="007E164F">
      <w:pPr>
        <w:tabs>
          <w:tab w:val="center" w:pos="4672"/>
          <w:tab w:val="left" w:pos="8115"/>
        </w:tabs>
        <w:spacing w:line="360" w:lineRule="auto"/>
        <w:rPr>
          <w:rFonts w:ascii="Tahoma" w:hAnsi="Tahoma" w:cs="Tahoma"/>
          <w:b/>
          <w:i/>
        </w:rPr>
      </w:pPr>
      <w:bookmarkStart w:id="0" w:name="_GoBack"/>
      <w:bookmarkEnd w:id="0"/>
    </w:p>
    <w:p w:rsidR="00AC1AAB" w:rsidRDefault="001A560F" w:rsidP="007E164F">
      <w:pPr>
        <w:jc w:val="both"/>
        <w:rPr>
          <w:rFonts w:ascii="Tahoma" w:eastAsiaTheme="minorHAnsi" w:hAnsi="Tahoma" w:cs="Tahoma"/>
          <w:lang w:eastAsia="en-US"/>
        </w:rPr>
      </w:pPr>
      <w:r w:rsidRPr="007E164F">
        <w:rPr>
          <w:rFonts w:ascii="Tahoma" w:eastAsiaTheme="minorHAnsi" w:hAnsi="Tahoma" w:cs="Tahoma"/>
          <w:b/>
          <w:lang w:val="es-US" w:eastAsia="en-US"/>
        </w:rPr>
        <w:t>1.-</w:t>
      </w:r>
      <w:r w:rsidRPr="007E164F">
        <w:rPr>
          <w:rFonts w:ascii="Tahoma" w:eastAsiaTheme="minorHAnsi" w:hAnsi="Tahoma" w:cs="Tahoma"/>
          <w:lang w:val="es-US" w:eastAsia="en-US"/>
        </w:rPr>
        <w:t xml:space="preserve"> Pase de lista y declaración de quórum legal.</w:t>
      </w:r>
      <w:r w:rsidR="006E05FF" w:rsidRPr="007E164F">
        <w:rPr>
          <w:rFonts w:ascii="Tahoma" w:eastAsiaTheme="minorHAnsi" w:hAnsi="Tahoma" w:cs="Tahoma"/>
          <w:lang w:eastAsia="en-US"/>
        </w:rPr>
        <w:tab/>
      </w:r>
    </w:p>
    <w:p w:rsidR="007E164F" w:rsidRDefault="007E164F" w:rsidP="007E164F">
      <w:pPr>
        <w:jc w:val="both"/>
        <w:rPr>
          <w:rFonts w:ascii="Tahoma" w:eastAsiaTheme="minorHAnsi" w:hAnsi="Tahoma" w:cs="Tahoma"/>
          <w:lang w:eastAsia="en-US"/>
        </w:rPr>
      </w:pPr>
    </w:p>
    <w:p w:rsidR="007E164F" w:rsidRPr="007E164F" w:rsidRDefault="007E164F" w:rsidP="007E164F">
      <w:pPr>
        <w:jc w:val="both"/>
        <w:rPr>
          <w:rFonts w:ascii="Tahoma" w:eastAsiaTheme="minorHAnsi" w:hAnsi="Tahoma" w:cs="Tahoma"/>
          <w:lang w:eastAsia="en-US"/>
        </w:rPr>
      </w:pPr>
    </w:p>
    <w:p w:rsidR="001D0E3A" w:rsidRDefault="001A560F" w:rsidP="007E164F">
      <w:pPr>
        <w:jc w:val="both"/>
        <w:rPr>
          <w:rFonts w:ascii="Tahoma" w:eastAsiaTheme="minorHAnsi" w:hAnsi="Tahoma" w:cs="Tahoma"/>
          <w:lang w:val="es-US" w:eastAsia="en-US"/>
        </w:rPr>
      </w:pPr>
      <w:r w:rsidRPr="007E164F">
        <w:rPr>
          <w:rFonts w:ascii="Tahoma" w:eastAsiaTheme="minorHAnsi" w:hAnsi="Tahoma" w:cs="Tahoma"/>
          <w:b/>
          <w:lang w:val="es-US" w:eastAsia="en-US"/>
        </w:rPr>
        <w:t>2.-</w:t>
      </w:r>
      <w:r w:rsidRPr="007E164F">
        <w:rPr>
          <w:rFonts w:ascii="Tahoma" w:eastAsiaTheme="minorHAnsi" w:hAnsi="Tahoma" w:cs="Tahoma"/>
          <w:lang w:val="es-US" w:eastAsia="en-US"/>
        </w:rPr>
        <w:t xml:space="preserve"> Lectura del Orden del Día, y en su caso, aprobación.</w:t>
      </w:r>
    </w:p>
    <w:p w:rsidR="007E164F" w:rsidRDefault="007E164F" w:rsidP="007E164F">
      <w:pPr>
        <w:jc w:val="both"/>
        <w:rPr>
          <w:rFonts w:ascii="Tahoma" w:eastAsiaTheme="minorHAnsi" w:hAnsi="Tahoma" w:cs="Tahoma"/>
          <w:lang w:val="es-US" w:eastAsia="en-US"/>
        </w:rPr>
      </w:pPr>
    </w:p>
    <w:p w:rsidR="007E164F" w:rsidRPr="007E164F" w:rsidRDefault="007E164F" w:rsidP="007E164F">
      <w:pPr>
        <w:jc w:val="both"/>
        <w:rPr>
          <w:rFonts w:ascii="Tahoma" w:eastAsiaTheme="minorHAnsi" w:hAnsi="Tahoma" w:cs="Tahoma"/>
          <w:lang w:val="es-US" w:eastAsia="en-US"/>
        </w:rPr>
      </w:pPr>
    </w:p>
    <w:p w:rsidR="00093A35" w:rsidRDefault="001A560F" w:rsidP="007E164F">
      <w:pPr>
        <w:jc w:val="both"/>
        <w:rPr>
          <w:rFonts w:ascii="Tahoma" w:eastAsiaTheme="minorHAnsi" w:hAnsi="Tahoma" w:cs="Tahoma"/>
          <w:lang w:val="es-US" w:eastAsia="en-US"/>
        </w:rPr>
      </w:pPr>
      <w:r w:rsidRPr="007E164F">
        <w:rPr>
          <w:rFonts w:ascii="Tahoma" w:eastAsiaTheme="minorHAnsi" w:hAnsi="Tahoma" w:cs="Tahoma"/>
          <w:b/>
          <w:lang w:val="es-US" w:eastAsia="en-US"/>
        </w:rPr>
        <w:t>3.-</w:t>
      </w:r>
      <w:r w:rsidR="00147D9A" w:rsidRPr="007E164F">
        <w:rPr>
          <w:rFonts w:ascii="Tahoma" w:eastAsiaTheme="minorHAnsi" w:hAnsi="Tahoma" w:cs="Tahoma"/>
          <w:lang w:val="es-US" w:eastAsia="en-US"/>
        </w:rPr>
        <w:t xml:space="preserve"> </w:t>
      </w:r>
      <w:r w:rsidR="004B7023" w:rsidRPr="007E164F">
        <w:rPr>
          <w:rFonts w:ascii="Tahoma" w:eastAsiaTheme="minorHAnsi" w:hAnsi="Tahoma" w:cs="Tahoma"/>
          <w:lang w:val="es-US" w:eastAsia="en-US"/>
        </w:rPr>
        <w:t>Lectura del Acta de la reunión anterior, y en su caso, aprobación.</w:t>
      </w:r>
    </w:p>
    <w:p w:rsidR="007E164F" w:rsidRDefault="007E164F" w:rsidP="007E164F">
      <w:pPr>
        <w:jc w:val="both"/>
        <w:rPr>
          <w:rFonts w:ascii="Tahoma" w:eastAsiaTheme="minorHAnsi" w:hAnsi="Tahoma" w:cs="Tahoma"/>
          <w:lang w:val="es-US" w:eastAsia="en-US"/>
        </w:rPr>
      </w:pPr>
    </w:p>
    <w:p w:rsidR="007E164F" w:rsidRPr="007E164F" w:rsidRDefault="007E164F" w:rsidP="007E164F">
      <w:pPr>
        <w:jc w:val="both"/>
        <w:rPr>
          <w:rFonts w:ascii="Tahoma" w:eastAsiaTheme="minorHAnsi" w:hAnsi="Tahoma" w:cs="Tahoma"/>
          <w:lang w:val="es-US" w:eastAsia="en-US"/>
        </w:rPr>
      </w:pPr>
    </w:p>
    <w:p w:rsidR="007E164F" w:rsidRDefault="007C0B07" w:rsidP="007E164F">
      <w:pPr>
        <w:jc w:val="both"/>
        <w:rPr>
          <w:rFonts w:ascii="Tahoma" w:eastAsiaTheme="minorHAnsi" w:hAnsi="Tahoma" w:cs="Tahoma"/>
          <w:bCs/>
          <w:lang w:val="es-MX" w:eastAsia="en-US"/>
        </w:rPr>
      </w:pPr>
      <w:r w:rsidRPr="007E164F">
        <w:rPr>
          <w:rFonts w:ascii="Tahoma" w:eastAsiaTheme="minorHAnsi" w:hAnsi="Tahoma" w:cs="Tahoma"/>
          <w:b/>
          <w:lang w:val="es-US" w:eastAsia="en-US"/>
        </w:rPr>
        <w:t>4.-</w:t>
      </w:r>
      <w:r w:rsidR="005358F3" w:rsidRPr="007E164F">
        <w:rPr>
          <w:rFonts w:ascii="Tahoma" w:eastAsiaTheme="minorHAnsi" w:hAnsi="Tahoma" w:cs="Tahoma"/>
          <w:b/>
          <w:lang w:val="es-US" w:eastAsia="en-US"/>
        </w:rPr>
        <w:t xml:space="preserve"> </w:t>
      </w:r>
      <w:r w:rsidR="007E164F" w:rsidRPr="007E164F">
        <w:rPr>
          <w:rFonts w:ascii="Tahoma" w:eastAsiaTheme="minorHAnsi" w:hAnsi="Tahoma" w:cs="Tahoma"/>
          <w:bCs/>
          <w:lang w:val="es-MX" w:eastAsia="en-US"/>
        </w:rPr>
        <w:t>Lectura del Proyecto de Dictamen con Minuta de Decreto por virtud del cual se reforman las fracciones III del artículo 9 y V, VI y X del artículo 50 de la Ley de Responsabilidades de los Servidores Públicos del Estado de Puebla, y en su caso aprobación.</w:t>
      </w:r>
    </w:p>
    <w:p w:rsidR="007E164F" w:rsidRDefault="007E164F" w:rsidP="007E164F">
      <w:pPr>
        <w:jc w:val="both"/>
        <w:rPr>
          <w:rFonts w:ascii="Tahoma" w:eastAsiaTheme="minorHAnsi" w:hAnsi="Tahoma" w:cs="Tahoma"/>
          <w:bCs/>
          <w:lang w:val="es-MX" w:eastAsia="en-US"/>
        </w:rPr>
      </w:pPr>
    </w:p>
    <w:p w:rsidR="007E164F" w:rsidRPr="007E164F" w:rsidRDefault="007E164F" w:rsidP="007E164F">
      <w:pPr>
        <w:jc w:val="both"/>
        <w:rPr>
          <w:rFonts w:ascii="Tahoma" w:eastAsiaTheme="minorHAnsi" w:hAnsi="Tahoma" w:cs="Tahoma"/>
          <w:bCs/>
          <w:lang w:val="es-MX" w:eastAsia="en-US"/>
        </w:rPr>
      </w:pPr>
    </w:p>
    <w:p w:rsidR="007E164F" w:rsidRDefault="007E164F" w:rsidP="007E164F">
      <w:pPr>
        <w:jc w:val="both"/>
        <w:rPr>
          <w:rFonts w:ascii="Tahoma" w:eastAsiaTheme="minorHAnsi" w:hAnsi="Tahoma" w:cs="Tahoma"/>
          <w:bCs/>
          <w:lang w:val="es-MX" w:eastAsia="en-US"/>
        </w:rPr>
      </w:pPr>
      <w:r w:rsidRPr="007E164F">
        <w:rPr>
          <w:rFonts w:ascii="Tahoma" w:eastAsiaTheme="minorHAnsi" w:hAnsi="Tahoma" w:cs="Tahoma"/>
          <w:b/>
          <w:bCs/>
          <w:lang w:val="es-MX" w:eastAsia="en-US"/>
        </w:rPr>
        <w:t xml:space="preserve">5.- </w:t>
      </w:r>
      <w:r w:rsidRPr="007E164F">
        <w:rPr>
          <w:rFonts w:ascii="Tahoma" w:eastAsiaTheme="minorHAnsi" w:hAnsi="Tahoma" w:cs="Tahoma"/>
          <w:bCs/>
          <w:lang w:val="es-MX" w:eastAsia="en-US"/>
        </w:rPr>
        <w:t>Lectura del Proyecto de Dictamen con Minuta de Decreto por virtud del cual se adiciona la fracción XXV bis al artículo 38 de la Ley Orgánica de la Administración Pública del Estado, y en su caso aprobación</w:t>
      </w:r>
      <w:r>
        <w:rPr>
          <w:rFonts w:ascii="Tahoma" w:eastAsiaTheme="minorHAnsi" w:hAnsi="Tahoma" w:cs="Tahoma"/>
          <w:bCs/>
          <w:lang w:val="es-MX" w:eastAsia="en-US"/>
        </w:rPr>
        <w:t>.</w:t>
      </w:r>
    </w:p>
    <w:p w:rsidR="007E164F" w:rsidRDefault="007E164F" w:rsidP="007E164F">
      <w:pPr>
        <w:jc w:val="both"/>
        <w:rPr>
          <w:rFonts w:ascii="Tahoma" w:eastAsiaTheme="minorHAnsi" w:hAnsi="Tahoma" w:cs="Tahoma"/>
          <w:bCs/>
          <w:lang w:val="es-MX" w:eastAsia="en-US"/>
        </w:rPr>
      </w:pPr>
    </w:p>
    <w:p w:rsidR="007E164F" w:rsidRPr="007E164F" w:rsidRDefault="007E164F" w:rsidP="007E164F">
      <w:pPr>
        <w:jc w:val="both"/>
        <w:rPr>
          <w:rFonts w:ascii="Tahoma" w:eastAsiaTheme="minorHAnsi" w:hAnsi="Tahoma" w:cs="Tahoma"/>
          <w:bCs/>
          <w:lang w:val="es-MX" w:eastAsia="en-US"/>
        </w:rPr>
      </w:pPr>
    </w:p>
    <w:p w:rsidR="007E164F" w:rsidRDefault="007E164F" w:rsidP="007E164F">
      <w:pPr>
        <w:jc w:val="both"/>
        <w:rPr>
          <w:rFonts w:ascii="Tahoma" w:eastAsiaTheme="minorHAnsi" w:hAnsi="Tahoma" w:cs="Tahoma"/>
          <w:bCs/>
          <w:lang w:val="es-MX" w:eastAsia="en-US"/>
        </w:rPr>
      </w:pPr>
      <w:r w:rsidRPr="007E164F">
        <w:rPr>
          <w:rFonts w:ascii="Tahoma" w:eastAsiaTheme="minorHAnsi" w:hAnsi="Tahoma" w:cs="Tahoma"/>
          <w:b/>
          <w:bCs/>
          <w:lang w:val="es-MX" w:eastAsia="en-US"/>
        </w:rPr>
        <w:t xml:space="preserve">6.- </w:t>
      </w:r>
      <w:r w:rsidRPr="007E164F">
        <w:rPr>
          <w:rFonts w:ascii="Tahoma" w:eastAsiaTheme="minorHAnsi" w:hAnsi="Tahoma" w:cs="Tahoma"/>
          <w:bCs/>
          <w:lang w:val="es-MX" w:eastAsia="en-US"/>
        </w:rPr>
        <w:t>Lectura del Proyecto de Dictamen con Minuta de Decreto por virtud del cual se reforma y adiciona un tercer párrafo al artículo 159 de la Ley Orgánica del Poder Legislativo del Estado Libre y Soberano de Puebla, y en su caso aprobación.</w:t>
      </w:r>
    </w:p>
    <w:p w:rsidR="007E164F" w:rsidRDefault="007E164F" w:rsidP="007E164F">
      <w:pPr>
        <w:jc w:val="both"/>
        <w:rPr>
          <w:rFonts w:ascii="Tahoma" w:eastAsiaTheme="minorHAnsi" w:hAnsi="Tahoma" w:cs="Tahoma"/>
          <w:bCs/>
          <w:lang w:val="es-MX" w:eastAsia="en-US"/>
        </w:rPr>
      </w:pPr>
    </w:p>
    <w:p w:rsidR="007E164F" w:rsidRPr="007E164F" w:rsidRDefault="007E164F" w:rsidP="007E164F">
      <w:pPr>
        <w:jc w:val="both"/>
        <w:rPr>
          <w:rFonts w:ascii="Tahoma" w:eastAsiaTheme="minorHAnsi" w:hAnsi="Tahoma" w:cs="Tahoma"/>
          <w:bCs/>
          <w:lang w:val="es-MX" w:eastAsia="en-US"/>
        </w:rPr>
      </w:pPr>
    </w:p>
    <w:p w:rsidR="007E164F" w:rsidRDefault="007E164F" w:rsidP="007E164F">
      <w:pPr>
        <w:jc w:val="both"/>
        <w:rPr>
          <w:rFonts w:ascii="Tahoma" w:eastAsiaTheme="minorHAnsi" w:hAnsi="Tahoma" w:cs="Tahoma"/>
          <w:bCs/>
          <w:lang w:val="es-MX" w:eastAsia="en-US"/>
        </w:rPr>
      </w:pPr>
      <w:r w:rsidRPr="007E164F">
        <w:rPr>
          <w:rFonts w:ascii="Tahoma" w:eastAsiaTheme="minorHAnsi" w:hAnsi="Tahoma" w:cs="Tahoma"/>
          <w:b/>
          <w:bCs/>
          <w:lang w:val="es-MX" w:eastAsia="en-US"/>
        </w:rPr>
        <w:t xml:space="preserve">7.- </w:t>
      </w:r>
      <w:r w:rsidRPr="007E164F">
        <w:rPr>
          <w:rFonts w:ascii="Tahoma" w:eastAsiaTheme="minorHAnsi" w:hAnsi="Tahoma" w:cs="Tahoma"/>
          <w:bCs/>
          <w:lang w:val="es-MX" w:eastAsia="en-US"/>
        </w:rPr>
        <w:t>Lectura del Proyecto de Dictamen con Minuta de Decreto por virtud del cual se expide la Ley del Periódico Oficial del Estado de Puebla, y en su caso aprobación.</w:t>
      </w:r>
    </w:p>
    <w:p w:rsidR="007E164F" w:rsidRDefault="007E164F" w:rsidP="007E164F">
      <w:pPr>
        <w:jc w:val="both"/>
        <w:rPr>
          <w:rFonts w:ascii="Tahoma" w:eastAsiaTheme="minorHAnsi" w:hAnsi="Tahoma" w:cs="Tahoma"/>
          <w:bCs/>
          <w:lang w:val="es-MX" w:eastAsia="en-US"/>
        </w:rPr>
      </w:pPr>
    </w:p>
    <w:p w:rsidR="007E164F" w:rsidRPr="007E164F" w:rsidRDefault="007E164F" w:rsidP="007E164F">
      <w:pPr>
        <w:jc w:val="both"/>
        <w:rPr>
          <w:rFonts w:ascii="Tahoma" w:eastAsiaTheme="minorHAnsi" w:hAnsi="Tahoma" w:cs="Tahoma"/>
          <w:bCs/>
          <w:lang w:val="es-MX" w:eastAsia="en-US"/>
        </w:rPr>
      </w:pPr>
    </w:p>
    <w:p w:rsidR="007E164F" w:rsidRDefault="007E164F" w:rsidP="007E164F">
      <w:pPr>
        <w:jc w:val="both"/>
        <w:rPr>
          <w:rFonts w:ascii="Tahoma" w:eastAsiaTheme="minorHAnsi" w:hAnsi="Tahoma" w:cs="Tahoma"/>
          <w:bCs/>
          <w:lang w:val="es-MX" w:eastAsia="en-US"/>
        </w:rPr>
      </w:pPr>
      <w:r w:rsidRPr="007E164F">
        <w:rPr>
          <w:rFonts w:ascii="Tahoma" w:eastAsiaTheme="minorHAnsi" w:hAnsi="Tahoma" w:cs="Tahoma"/>
          <w:b/>
          <w:bCs/>
          <w:lang w:val="es-MX" w:eastAsia="en-US"/>
        </w:rPr>
        <w:t xml:space="preserve">8.- </w:t>
      </w:r>
      <w:r w:rsidRPr="007E164F">
        <w:rPr>
          <w:rFonts w:ascii="Tahoma" w:eastAsiaTheme="minorHAnsi" w:hAnsi="Tahoma" w:cs="Tahoma"/>
          <w:bCs/>
          <w:lang w:val="es-MX" w:eastAsia="en-US"/>
        </w:rPr>
        <w:t xml:space="preserve">Lectura del Proyecto de Acuerdo por virtud del cual se </w:t>
      </w:r>
      <w:r w:rsidRPr="007E164F">
        <w:rPr>
          <w:rFonts w:ascii="Tahoma" w:eastAsiaTheme="minorHAnsi" w:hAnsi="Tahoma" w:cs="Tahoma"/>
          <w:lang w:val="es-MX" w:eastAsia="en-US"/>
        </w:rPr>
        <w:t>exhorta al Presidente Municipal de Juan C Bonilla, para que cumpla con la sentencia que le fue impuesta por el Tribunal Electoral del Estado, dentro del juicio TEEP-A-011/2016</w:t>
      </w:r>
      <w:r w:rsidRPr="007E164F">
        <w:rPr>
          <w:rFonts w:ascii="Tahoma" w:eastAsiaTheme="minorHAnsi" w:hAnsi="Tahoma" w:cs="Tahoma"/>
          <w:bCs/>
          <w:lang w:val="es-MX" w:eastAsia="en-US"/>
        </w:rPr>
        <w:t>, entre otros resolutivos, y en su caso aprobación.</w:t>
      </w:r>
    </w:p>
    <w:p w:rsidR="007E164F" w:rsidRDefault="007E164F" w:rsidP="007E164F">
      <w:pPr>
        <w:jc w:val="both"/>
        <w:rPr>
          <w:rFonts w:ascii="Tahoma" w:eastAsiaTheme="minorHAnsi" w:hAnsi="Tahoma" w:cs="Tahoma"/>
          <w:bCs/>
          <w:lang w:val="es-MX" w:eastAsia="en-US"/>
        </w:rPr>
      </w:pPr>
    </w:p>
    <w:p w:rsidR="007E164F" w:rsidRPr="007E164F" w:rsidRDefault="007E164F" w:rsidP="007E164F">
      <w:pPr>
        <w:jc w:val="both"/>
        <w:rPr>
          <w:rFonts w:ascii="Tahoma" w:eastAsiaTheme="minorHAnsi" w:hAnsi="Tahoma" w:cs="Tahoma"/>
          <w:bCs/>
          <w:lang w:val="es-MX" w:eastAsia="en-US"/>
        </w:rPr>
      </w:pPr>
    </w:p>
    <w:p w:rsidR="007E164F" w:rsidRDefault="007E164F" w:rsidP="007E164F">
      <w:pPr>
        <w:jc w:val="both"/>
        <w:rPr>
          <w:rFonts w:ascii="Tahoma" w:eastAsiaTheme="minorHAnsi" w:hAnsi="Tahoma" w:cs="Tahoma"/>
          <w:bCs/>
          <w:lang w:val="es-MX" w:eastAsia="en-US"/>
        </w:rPr>
      </w:pPr>
      <w:r w:rsidRPr="007E164F">
        <w:rPr>
          <w:rFonts w:ascii="Tahoma" w:eastAsiaTheme="minorHAnsi" w:hAnsi="Tahoma" w:cs="Tahoma"/>
          <w:b/>
          <w:bCs/>
          <w:lang w:val="es-MX" w:eastAsia="en-US"/>
        </w:rPr>
        <w:t xml:space="preserve">9.- </w:t>
      </w:r>
      <w:r w:rsidRPr="007E164F">
        <w:rPr>
          <w:rFonts w:ascii="Tahoma" w:eastAsiaTheme="minorHAnsi" w:hAnsi="Tahoma" w:cs="Tahoma"/>
          <w:bCs/>
          <w:lang w:val="es-MX" w:eastAsia="en-US"/>
        </w:rPr>
        <w:t>Lectura del Proyecto de Acuerdo por virtud del cual se declaran improcedentes y se dejan sin efectos ocho iniciativas presentadas durante la LIX Legislatura del Honorable Congreso del Estado Libre y Soberano de Puebla, entre otros resolutivos, y en su caso aprobación.</w:t>
      </w:r>
    </w:p>
    <w:p w:rsidR="007E164F" w:rsidRDefault="007E164F" w:rsidP="007E164F">
      <w:pPr>
        <w:jc w:val="both"/>
        <w:rPr>
          <w:rFonts w:ascii="Tahoma" w:eastAsiaTheme="minorHAnsi" w:hAnsi="Tahoma" w:cs="Tahoma"/>
          <w:b/>
          <w:bCs/>
          <w:lang w:val="es-MX" w:eastAsia="en-US"/>
        </w:rPr>
      </w:pPr>
    </w:p>
    <w:p w:rsidR="007E164F" w:rsidRPr="007E164F" w:rsidRDefault="007E164F" w:rsidP="007E164F">
      <w:pPr>
        <w:jc w:val="both"/>
        <w:rPr>
          <w:rFonts w:ascii="Tahoma" w:eastAsiaTheme="minorHAnsi" w:hAnsi="Tahoma" w:cs="Tahoma"/>
          <w:b/>
          <w:bCs/>
          <w:lang w:val="es-MX" w:eastAsia="en-US"/>
        </w:rPr>
      </w:pPr>
    </w:p>
    <w:p w:rsidR="007E164F" w:rsidRPr="007E164F" w:rsidRDefault="007E164F" w:rsidP="007E164F">
      <w:pPr>
        <w:jc w:val="both"/>
        <w:rPr>
          <w:rFonts w:ascii="Tahoma" w:eastAsiaTheme="minorHAnsi" w:hAnsi="Tahoma" w:cs="Tahoma"/>
          <w:bCs/>
          <w:lang w:val="es-MX" w:eastAsia="en-US"/>
        </w:rPr>
      </w:pPr>
      <w:r w:rsidRPr="007E164F">
        <w:rPr>
          <w:rFonts w:ascii="Tahoma" w:eastAsiaTheme="minorHAnsi" w:hAnsi="Tahoma" w:cs="Tahoma"/>
          <w:b/>
          <w:bCs/>
          <w:lang w:val="es-MX" w:eastAsia="en-US"/>
        </w:rPr>
        <w:t xml:space="preserve">10.- </w:t>
      </w:r>
      <w:r w:rsidRPr="007E164F">
        <w:rPr>
          <w:rFonts w:ascii="Tahoma" w:eastAsiaTheme="minorHAnsi" w:hAnsi="Tahoma" w:cs="Tahoma"/>
          <w:bCs/>
          <w:lang w:val="es-MX" w:eastAsia="en-US"/>
        </w:rPr>
        <w:t>Asuntos Generales.</w:t>
      </w:r>
    </w:p>
    <w:p w:rsidR="00D0339B" w:rsidRPr="007E164F" w:rsidRDefault="00D0339B" w:rsidP="007E164F">
      <w:pPr>
        <w:jc w:val="both"/>
        <w:rPr>
          <w:rFonts w:ascii="Tahoma" w:eastAsiaTheme="minorHAnsi" w:hAnsi="Tahoma" w:cs="Tahoma"/>
          <w:lang w:val="es-US" w:eastAsia="en-US"/>
        </w:rPr>
      </w:pPr>
    </w:p>
    <w:p w:rsidR="00501A7D" w:rsidRPr="007E164F" w:rsidRDefault="00501A7D" w:rsidP="007E164F">
      <w:pPr>
        <w:jc w:val="both"/>
        <w:rPr>
          <w:rFonts w:ascii="Tahoma" w:eastAsia="Calibri" w:hAnsi="Tahoma" w:cs="Tahoma"/>
          <w:lang w:val="es-MX" w:eastAsia="en-US"/>
        </w:rPr>
      </w:pPr>
    </w:p>
    <w:sectPr w:rsidR="00501A7D" w:rsidRPr="007E164F">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5F1" w:rsidRDefault="004105F1">
      <w:r>
        <w:separator/>
      </w:r>
    </w:p>
  </w:endnote>
  <w:endnote w:type="continuationSeparator" w:id="0">
    <w:p w:rsidR="004105F1" w:rsidRDefault="0041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5F1" w:rsidRDefault="004105F1">
      <w:r>
        <w:separator/>
      </w:r>
    </w:p>
  </w:footnote>
  <w:footnote w:type="continuationSeparator" w:id="0">
    <w:p w:rsidR="004105F1" w:rsidRDefault="0041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36572E">
    <w:pPr>
      <w:pStyle w:val="Encabezado"/>
      <w:tabs>
        <w:tab w:val="clear" w:pos="8504"/>
      </w:tabs>
      <w:spacing w:line="140" w:lineRule="atLeast"/>
      <w:ind w:right="-316"/>
      <w:jc w:val="center"/>
      <w:rPr>
        <w:rFonts w:ascii="Bradley Hand ITC" w:hAnsi="Bradley Hand ITC"/>
        <w:sz w:val="20"/>
        <w:szCs w:val="20"/>
      </w:rPr>
    </w:pPr>
    <w:r>
      <w:rPr>
        <w:noProof/>
      </w:rPr>
      <w:drawing>
        <wp:anchor distT="0" distB="0" distL="114300" distR="114300" simplePos="0" relativeHeight="251659264" behindDoc="1" locked="0" layoutInCell="1" allowOverlap="1" wp14:anchorId="18464A27" wp14:editId="5B9788EB">
          <wp:simplePos x="0" y="0"/>
          <wp:positionH relativeFrom="margin">
            <wp:posOffset>-562</wp:posOffset>
          </wp:positionH>
          <wp:positionV relativeFrom="paragraph">
            <wp:posOffset>53340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rsidR="001160F1" w:rsidRPr="003A7AA5" w:rsidRDefault="001D0E3A"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COMISIÓN DE</w:t>
    </w:r>
    <w:r w:rsidR="00CD6E3E">
      <w:rPr>
        <w:rFonts w:ascii="Tahoma" w:hAnsi="Tahoma" w:cs="Tahoma"/>
        <w:b/>
        <w:bCs/>
        <w:sz w:val="34"/>
        <w:szCs w:val="34"/>
      </w:rPr>
      <w:t xml:space="preserve"> </w:t>
    </w:r>
    <w:r w:rsidR="006A56B9">
      <w:rPr>
        <w:rFonts w:ascii="Tahoma" w:hAnsi="Tahoma" w:cs="Tahoma"/>
        <w:b/>
        <w:bCs/>
        <w:sz w:val="34"/>
        <w:szCs w:val="34"/>
      </w:rPr>
      <w:t xml:space="preserve">GOBERNACIÓN Y PUNTOS CONSTITUCIONALES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32D4C"/>
    <w:rsid w:val="00052731"/>
    <w:rsid w:val="000647AB"/>
    <w:rsid w:val="000761D2"/>
    <w:rsid w:val="00093A35"/>
    <w:rsid w:val="000A7E06"/>
    <w:rsid w:val="000D2685"/>
    <w:rsid w:val="000E1BA6"/>
    <w:rsid w:val="000E76A8"/>
    <w:rsid w:val="00115789"/>
    <w:rsid w:val="001160F1"/>
    <w:rsid w:val="001348C1"/>
    <w:rsid w:val="00141274"/>
    <w:rsid w:val="00142F75"/>
    <w:rsid w:val="00147D9A"/>
    <w:rsid w:val="001502FA"/>
    <w:rsid w:val="00150CD8"/>
    <w:rsid w:val="00157407"/>
    <w:rsid w:val="001877A0"/>
    <w:rsid w:val="001A560F"/>
    <w:rsid w:val="001C5850"/>
    <w:rsid w:val="001D0E3A"/>
    <w:rsid w:val="001D3F97"/>
    <w:rsid w:val="001E5F6E"/>
    <w:rsid w:val="001E609C"/>
    <w:rsid w:val="00210B58"/>
    <w:rsid w:val="00216515"/>
    <w:rsid w:val="002239FB"/>
    <w:rsid w:val="0023366A"/>
    <w:rsid w:val="002346E2"/>
    <w:rsid w:val="00240CFA"/>
    <w:rsid w:val="00273E08"/>
    <w:rsid w:val="00277121"/>
    <w:rsid w:val="00281575"/>
    <w:rsid w:val="00285A5C"/>
    <w:rsid w:val="00287D89"/>
    <w:rsid w:val="00297BF5"/>
    <w:rsid w:val="002A2954"/>
    <w:rsid w:val="002B6A4A"/>
    <w:rsid w:val="00323E8B"/>
    <w:rsid w:val="00335B2E"/>
    <w:rsid w:val="0033771B"/>
    <w:rsid w:val="003577A9"/>
    <w:rsid w:val="00361FFE"/>
    <w:rsid w:val="0036572E"/>
    <w:rsid w:val="0037404A"/>
    <w:rsid w:val="00377E9C"/>
    <w:rsid w:val="00395462"/>
    <w:rsid w:val="003A7AA5"/>
    <w:rsid w:val="003A7D1F"/>
    <w:rsid w:val="003B3242"/>
    <w:rsid w:val="004104ED"/>
    <w:rsid w:val="004105F1"/>
    <w:rsid w:val="00411A3A"/>
    <w:rsid w:val="0045074C"/>
    <w:rsid w:val="004615D0"/>
    <w:rsid w:val="004622AE"/>
    <w:rsid w:val="00481CD7"/>
    <w:rsid w:val="004B7023"/>
    <w:rsid w:val="004D2ACD"/>
    <w:rsid w:val="004F10A4"/>
    <w:rsid w:val="004F29A2"/>
    <w:rsid w:val="004F7BC9"/>
    <w:rsid w:val="00501A7D"/>
    <w:rsid w:val="0051254C"/>
    <w:rsid w:val="00515B0D"/>
    <w:rsid w:val="005214D7"/>
    <w:rsid w:val="00524A14"/>
    <w:rsid w:val="00533B2E"/>
    <w:rsid w:val="005358F3"/>
    <w:rsid w:val="00543075"/>
    <w:rsid w:val="0054373D"/>
    <w:rsid w:val="00557ADF"/>
    <w:rsid w:val="00570E7E"/>
    <w:rsid w:val="00577730"/>
    <w:rsid w:val="005C1232"/>
    <w:rsid w:val="005C5F32"/>
    <w:rsid w:val="005F46BB"/>
    <w:rsid w:val="005F5D6D"/>
    <w:rsid w:val="0060173E"/>
    <w:rsid w:val="006123A7"/>
    <w:rsid w:val="0062135F"/>
    <w:rsid w:val="006268C1"/>
    <w:rsid w:val="00641D0A"/>
    <w:rsid w:val="00667902"/>
    <w:rsid w:val="00670605"/>
    <w:rsid w:val="00674A9D"/>
    <w:rsid w:val="006877AE"/>
    <w:rsid w:val="006A06E9"/>
    <w:rsid w:val="006A56B9"/>
    <w:rsid w:val="006A5C8D"/>
    <w:rsid w:val="006E05FF"/>
    <w:rsid w:val="006F2FB2"/>
    <w:rsid w:val="006F759F"/>
    <w:rsid w:val="007013CC"/>
    <w:rsid w:val="00701819"/>
    <w:rsid w:val="007313C4"/>
    <w:rsid w:val="00755F5F"/>
    <w:rsid w:val="00755F8D"/>
    <w:rsid w:val="00767460"/>
    <w:rsid w:val="007A08F4"/>
    <w:rsid w:val="007A7990"/>
    <w:rsid w:val="007B058A"/>
    <w:rsid w:val="007B3E49"/>
    <w:rsid w:val="007C0B07"/>
    <w:rsid w:val="007E164F"/>
    <w:rsid w:val="007F280F"/>
    <w:rsid w:val="008052A8"/>
    <w:rsid w:val="00830EEF"/>
    <w:rsid w:val="00834570"/>
    <w:rsid w:val="00834D31"/>
    <w:rsid w:val="00884093"/>
    <w:rsid w:val="00887C41"/>
    <w:rsid w:val="008956A4"/>
    <w:rsid w:val="008A0527"/>
    <w:rsid w:val="008E629A"/>
    <w:rsid w:val="00903DAA"/>
    <w:rsid w:val="009152A9"/>
    <w:rsid w:val="0091615D"/>
    <w:rsid w:val="00920F1A"/>
    <w:rsid w:val="009305A6"/>
    <w:rsid w:val="009418E7"/>
    <w:rsid w:val="0094787A"/>
    <w:rsid w:val="00967A29"/>
    <w:rsid w:val="00973DCD"/>
    <w:rsid w:val="0097600D"/>
    <w:rsid w:val="00987846"/>
    <w:rsid w:val="00987CF2"/>
    <w:rsid w:val="009C61E6"/>
    <w:rsid w:val="009D269B"/>
    <w:rsid w:val="009D315D"/>
    <w:rsid w:val="009F6FD3"/>
    <w:rsid w:val="00A033E6"/>
    <w:rsid w:val="00A0539B"/>
    <w:rsid w:val="00A45434"/>
    <w:rsid w:val="00A664A5"/>
    <w:rsid w:val="00A71522"/>
    <w:rsid w:val="00A71DB4"/>
    <w:rsid w:val="00A94F22"/>
    <w:rsid w:val="00A97D58"/>
    <w:rsid w:val="00AA1065"/>
    <w:rsid w:val="00AB492F"/>
    <w:rsid w:val="00AB5939"/>
    <w:rsid w:val="00AC1AAB"/>
    <w:rsid w:val="00AC6C32"/>
    <w:rsid w:val="00AD13F0"/>
    <w:rsid w:val="00AD34F9"/>
    <w:rsid w:val="00AE7BBD"/>
    <w:rsid w:val="00AF0FFB"/>
    <w:rsid w:val="00AF13F3"/>
    <w:rsid w:val="00AF501D"/>
    <w:rsid w:val="00B5278D"/>
    <w:rsid w:val="00B54E44"/>
    <w:rsid w:val="00B6511F"/>
    <w:rsid w:val="00B7751C"/>
    <w:rsid w:val="00B85000"/>
    <w:rsid w:val="00B85795"/>
    <w:rsid w:val="00B87099"/>
    <w:rsid w:val="00BA0D81"/>
    <w:rsid w:val="00BA2B06"/>
    <w:rsid w:val="00BD4C01"/>
    <w:rsid w:val="00BE5EAA"/>
    <w:rsid w:val="00C10F95"/>
    <w:rsid w:val="00C14137"/>
    <w:rsid w:val="00C34DE0"/>
    <w:rsid w:val="00C4202D"/>
    <w:rsid w:val="00C80D6E"/>
    <w:rsid w:val="00CC4A13"/>
    <w:rsid w:val="00CD2EAF"/>
    <w:rsid w:val="00CD6E3E"/>
    <w:rsid w:val="00CE1CEA"/>
    <w:rsid w:val="00D02BA6"/>
    <w:rsid w:val="00D0339B"/>
    <w:rsid w:val="00D07D73"/>
    <w:rsid w:val="00D25909"/>
    <w:rsid w:val="00D27C23"/>
    <w:rsid w:val="00D27FEE"/>
    <w:rsid w:val="00D30B3B"/>
    <w:rsid w:val="00D328A0"/>
    <w:rsid w:val="00D422BA"/>
    <w:rsid w:val="00D51B9A"/>
    <w:rsid w:val="00D62BAE"/>
    <w:rsid w:val="00D9436E"/>
    <w:rsid w:val="00DA22DE"/>
    <w:rsid w:val="00DB0A08"/>
    <w:rsid w:val="00DB254A"/>
    <w:rsid w:val="00DB3D80"/>
    <w:rsid w:val="00DB4EEB"/>
    <w:rsid w:val="00DC11C3"/>
    <w:rsid w:val="00DD5A9F"/>
    <w:rsid w:val="00DD5C8D"/>
    <w:rsid w:val="00DE00E1"/>
    <w:rsid w:val="00DE0915"/>
    <w:rsid w:val="00DE238D"/>
    <w:rsid w:val="00E0058E"/>
    <w:rsid w:val="00E17429"/>
    <w:rsid w:val="00E233CD"/>
    <w:rsid w:val="00E25140"/>
    <w:rsid w:val="00E35DDB"/>
    <w:rsid w:val="00E60CA0"/>
    <w:rsid w:val="00E61048"/>
    <w:rsid w:val="00E8413A"/>
    <w:rsid w:val="00EA6705"/>
    <w:rsid w:val="00ED6457"/>
    <w:rsid w:val="00EE253D"/>
    <w:rsid w:val="00EF5152"/>
    <w:rsid w:val="00EF5CAE"/>
    <w:rsid w:val="00F1199A"/>
    <w:rsid w:val="00F23E7C"/>
    <w:rsid w:val="00F25645"/>
    <w:rsid w:val="00F372E3"/>
    <w:rsid w:val="00F40059"/>
    <w:rsid w:val="00F64CA1"/>
    <w:rsid w:val="00FB0A3D"/>
    <w:rsid w:val="00FC1CF3"/>
    <w:rsid w:val="00FD26CF"/>
    <w:rsid w:val="00FE6281"/>
    <w:rsid w:val="00FF2353"/>
    <w:rsid w:val="00FF5D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4515F"/>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4</cp:revision>
  <cp:lastPrinted>2017-08-31T17:15:00Z</cp:lastPrinted>
  <dcterms:created xsi:type="dcterms:W3CDTF">2019-04-02T18:16:00Z</dcterms:created>
  <dcterms:modified xsi:type="dcterms:W3CDTF">2019-04-02T23:08:00Z</dcterms:modified>
</cp:coreProperties>
</file>