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967BC">
        <w:rPr>
          <w:rFonts w:ascii="Tahoma" w:hAnsi="Tahoma" w:cs="Tahoma"/>
          <w:sz w:val="20"/>
          <w:szCs w:val="20"/>
        </w:rPr>
        <w:t>21 de mayo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A967BC">
        <w:rPr>
          <w:rFonts w:ascii="Tahoma" w:hAnsi="Tahoma" w:cs="Tahoma"/>
          <w:sz w:val="20"/>
          <w:szCs w:val="20"/>
        </w:rPr>
        <w:t>Sala “Legisladores de Puebla”</w:t>
      </w:r>
      <w:r w:rsidR="006D164A">
        <w:rPr>
          <w:rFonts w:ascii="Tahoma" w:hAnsi="Tahoma" w:cs="Tahoma"/>
          <w:sz w:val="20"/>
          <w:szCs w:val="20"/>
        </w:rPr>
        <w:t xml:space="preserve"> </w:t>
      </w:r>
      <w:r w:rsidR="00A967BC">
        <w:rPr>
          <w:rFonts w:ascii="Tahoma" w:hAnsi="Tahoma" w:cs="Tahoma"/>
          <w:sz w:val="20"/>
          <w:szCs w:val="20"/>
        </w:rPr>
        <w:t>11</w:t>
      </w:r>
      <w:r w:rsidR="006D164A">
        <w:rPr>
          <w:rFonts w:ascii="Tahoma" w:hAnsi="Tahoma" w:cs="Tahoma"/>
          <w:sz w:val="20"/>
          <w:szCs w:val="20"/>
        </w:rPr>
        <w:t>:</w:t>
      </w:r>
      <w:r w:rsidR="00A967BC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967BC" w:rsidRDefault="00A967BC" w:rsidP="00210B58">
      <w:pPr>
        <w:rPr>
          <w:rFonts w:ascii="Tahoma" w:eastAsiaTheme="minorHAnsi" w:hAnsi="Tahoma" w:cs="Tahoma"/>
          <w:b/>
          <w:i/>
          <w:lang w:val="es-US" w:eastAsia="en-US"/>
        </w:rPr>
      </w:pPr>
      <w:bookmarkStart w:id="0" w:name="_GoBack"/>
      <w:bookmarkEnd w:id="0"/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C5600E" w:rsidRDefault="00C5600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C5600E" w:rsidRDefault="00C5600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5600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6D164A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 y en su caso, aprobación.</w:t>
      </w: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021E" w:rsidRDefault="006F021E" w:rsidP="006D164A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967BC" w:rsidRDefault="006F021E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6F021E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6F021E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A967BC" w:rsidRPr="00A967B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Acuerdo por virtud del cual </w:t>
      </w:r>
      <w:bookmarkStart w:id="1" w:name="_Hlk8992817"/>
      <w:r w:rsidR="00A967BC" w:rsidRPr="00A967BC">
        <w:rPr>
          <w:rFonts w:ascii="Tahoma" w:eastAsiaTheme="minorHAnsi" w:hAnsi="Tahoma" w:cs="Tahoma"/>
          <w:sz w:val="26"/>
          <w:szCs w:val="26"/>
          <w:lang w:val="es-MX" w:eastAsia="en-US"/>
        </w:rPr>
        <w:t>la Cámara de Diputados del Honorable Congreso de la Unión, exhorta al Ejecutivo Federal y a los Ejecutivos locales de las entidades federativas de Chiapas, Oaxaca, Estado de México, Tlaxcala, Hidalgo, Puebla, Morelos Guerrero y Ciudad de México; publiquen y publiciten exhaustiva y detalladamente, en apartado especial de sus portales de transparencia, la información relativa a la ayuda de damnificados y la remediación de los daños causados por los sismos ocurridos el 7 y el 19 de septiembre de 2017; entre otros resolutivos.</w:t>
      </w:r>
      <w:bookmarkEnd w:id="1"/>
    </w:p>
    <w:p w:rsidR="00A967BC" w:rsidRDefault="00A967BC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967BC" w:rsidRPr="00A967BC" w:rsidRDefault="00A967BC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967BC" w:rsidRPr="00A967BC" w:rsidRDefault="00A967BC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967BC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A967BC">
        <w:rPr>
          <w:rFonts w:ascii="Tahoma" w:eastAsiaTheme="minorHAnsi" w:hAnsi="Tahoma" w:cs="Tahoma"/>
          <w:sz w:val="26"/>
          <w:szCs w:val="26"/>
          <w:lang w:val="es-MX" w:eastAsia="en-US"/>
        </w:rPr>
        <w:t>Lectura del Acuerdo por virtud del cual se exhorta a la Secretaría de Desarrollo Agrario, Territorial y Urbano, (SEDATU) para clarificar y otorgar los montos correspondientes para cada uno de los beneficiarios censados, entre otros resolutivos; y en su caso, aprobación.</w:t>
      </w:r>
    </w:p>
    <w:p w:rsidR="00A967BC" w:rsidRDefault="00A967BC" w:rsidP="00A967BC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967BC" w:rsidRPr="00A967BC" w:rsidRDefault="00A967BC" w:rsidP="00A967BC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A967BC" w:rsidRPr="00A967BC" w:rsidRDefault="00A967BC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967BC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A967BC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6F021E" w:rsidRPr="00C5600E" w:rsidRDefault="006F021E" w:rsidP="00A967BC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B7" w:rsidRDefault="007306B7">
      <w:r>
        <w:separator/>
      </w:r>
    </w:p>
  </w:endnote>
  <w:endnote w:type="continuationSeparator" w:id="0">
    <w:p w:rsidR="007306B7" w:rsidRDefault="0073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B7" w:rsidRDefault="007306B7">
      <w:r>
        <w:separator/>
      </w:r>
    </w:p>
  </w:footnote>
  <w:footnote w:type="continuationSeparator" w:id="0">
    <w:p w:rsidR="007306B7" w:rsidRDefault="0073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6D164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8B19872">
          <wp:simplePos x="0" y="0"/>
          <wp:positionH relativeFrom="column">
            <wp:posOffset>18415</wp:posOffset>
          </wp:positionH>
          <wp:positionV relativeFrom="paragraph">
            <wp:posOffset>100965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C5600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C5600E">
      <w:rPr>
        <w:rFonts w:ascii="Tahoma" w:hAnsi="Tahoma" w:cs="Tahoma"/>
        <w:b/>
        <w:bCs/>
        <w:sz w:val="34"/>
        <w:szCs w:val="34"/>
      </w:rPr>
      <w:t>COMISIÓN ESPECIAL DE SEGUIMIENTO DE LAS LABORES DE RECONSTRUCCIÓN DERIVADAS DE LOS SISMOS DEL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44513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454A1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27AA3"/>
    <w:rsid w:val="00641D0A"/>
    <w:rsid w:val="00670605"/>
    <w:rsid w:val="00674A9D"/>
    <w:rsid w:val="006877AE"/>
    <w:rsid w:val="006A06E9"/>
    <w:rsid w:val="006A5C8D"/>
    <w:rsid w:val="006D164A"/>
    <w:rsid w:val="006E05FF"/>
    <w:rsid w:val="006E11A6"/>
    <w:rsid w:val="006F021E"/>
    <w:rsid w:val="006F2FB2"/>
    <w:rsid w:val="006F759F"/>
    <w:rsid w:val="007013CC"/>
    <w:rsid w:val="00701819"/>
    <w:rsid w:val="007306B7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67BC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600E"/>
    <w:rsid w:val="00CA5E18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9EB2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2018-11-06T16:49:00Z</dcterms:created>
  <dcterms:modified xsi:type="dcterms:W3CDTF">2019-05-20T16:04:00Z</dcterms:modified>
</cp:coreProperties>
</file>