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2A6D303F"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31586">
        <w:rPr>
          <w:rFonts w:ascii="Tahoma" w:hAnsi="Tahoma" w:cs="Tahoma"/>
          <w:sz w:val="20"/>
          <w:szCs w:val="20"/>
        </w:rPr>
        <w:t>25</w:t>
      </w:r>
      <w:r w:rsidR="00515026">
        <w:rPr>
          <w:rFonts w:ascii="Tahoma" w:hAnsi="Tahoma" w:cs="Tahoma"/>
          <w:sz w:val="20"/>
          <w:szCs w:val="20"/>
        </w:rPr>
        <w:t xml:space="preserve"> de mayo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5B3A5B84"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B31586">
        <w:rPr>
          <w:rFonts w:ascii="Tahoma" w:hAnsi="Tahoma" w:cs="Tahoma"/>
          <w:sz w:val="20"/>
          <w:szCs w:val="20"/>
        </w:rPr>
        <w:t>11</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74C0EAF4" w14:textId="77777777" w:rsidR="001D0E3A" w:rsidRDefault="001D0E3A" w:rsidP="00210B58">
      <w:pPr>
        <w:rPr>
          <w:rFonts w:ascii="Tahoma" w:eastAsiaTheme="minorHAnsi" w:hAnsi="Tahoma" w:cs="Tahoma"/>
          <w:b/>
          <w:i/>
          <w:lang w:val="es-US" w:eastAsia="en-US"/>
        </w:rPr>
      </w:pPr>
    </w:p>
    <w:p w14:paraId="28027686" w14:textId="77777777" w:rsidR="001D0E3A" w:rsidRPr="007B058A" w:rsidRDefault="001D0E3A"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975D5AC"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4517345"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13BFCFD2" w14:textId="77777777" w:rsidR="00AC1AAB" w:rsidRPr="00F1199A" w:rsidRDefault="00AC1AAB"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1A852E8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256B6A8" w14:textId="77777777" w:rsidR="006123A7" w:rsidRDefault="006123A7" w:rsidP="00F1199A">
      <w:pPr>
        <w:jc w:val="both"/>
        <w:rPr>
          <w:rFonts w:ascii="Tahoma" w:eastAsiaTheme="minorHAnsi" w:hAnsi="Tahoma" w:cs="Tahoma"/>
          <w:sz w:val="26"/>
          <w:szCs w:val="26"/>
          <w:lang w:eastAsia="en-US"/>
        </w:rPr>
      </w:pPr>
    </w:p>
    <w:p w14:paraId="3A1D03D8" w14:textId="77777777" w:rsidR="001D0E3A" w:rsidRPr="006123A7" w:rsidRDefault="001D0E3A" w:rsidP="00F1199A">
      <w:pPr>
        <w:jc w:val="both"/>
        <w:rPr>
          <w:rFonts w:ascii="Tahoma" w:eastAsiaTheme="minorHAnsi" w:hAnsi="Tahoma" w:cs="Tahoma"/>
          <w:sz w:val="26"/>
          <w:szCs w:val="26"/>
          <w:lang w:eastAsia="en-US"/>
        </w:rPr>
      </w:pPr>
    </w:p>
    <w:p w14:paraId="06294246" w14:textId="79228AC5"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4A152E">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E432C9">
        <w:rPr>
          <w:rFonts w:ascii="Tahoma" w:eastAsiaTheme="minorHAnsi" w:hAnsi="Tahoma" w:cs="Tahoma"/>
          <w:sz w:val="26"/>
          <w:szCs w:val="26"/>
          <w:lang w:val="es-US" w:eastAsia="en-US"/>
        </w:rPr>
        <w:t xml:space="preserve"> de fecha </w:t>
      </w:r>
      <w:r w:rsidR="00FF64BD">
        <w:rPr>
          <w:rFonts w:ascii="Tahoma" w:eastAsiaTheme="minorHAnsi" w:hAnsi="Tahoma" w:cs="Tahoma"/>
          <w:sz w:val="26"/>
          <w:szCs w:val="26"/>
          <w:lang w:val="es-US" w:eastAsia="en-US"/>
        </w:rPr>
        <w:t>26 de febrero</w:t>
      </w:r>
      <w:r w:rsidR="006B6C7E">
        <w:rPr>
          <w:rFonts w:ascii="Tahoma" w:eastAsiaTheme="minorHAnsi" w:hAnsi="Tahoma" w:cs="Tahoma"/>
          <w:sz w:val="26"/>
          <w:szCs w:val="26"/>
          <w:lang w:val="es-US" w:eastAsia="en-US"/>
        </w:rPr>
        <w:t xml:space="preserve"> </w:t>
      </w:r>
      <w:r w:rsidR="00E432C9">
        <w:rPr>
          <w:rFonts w:ascii="Tahoma" w:eastAsiaTheme="minorHAnsi" w:hAnsi="Tahoma" w:cs="Tahoma"/>
          <w:sz w:val="26"/>
          <w:szCs w:val="26"/>
          <w:lang w:val="es-US" w:eastAsia="en-US"/>
        </w:rPr>
        <w:t>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6368C49B" w14:textId="5FC69505" w:rsidR="007242CE" w:rsidRDefault="007242CE" w:rsidP="00147D9A">
      <w:pPr>
        <w:jc w:val="both"/>
        <w:rPr>
          <w:rFonts w:ascii="Tahoma" w:eastAsiaTheme="minorHAnsi" w:hAnsi="Tahoma" w:cs="Tahoma"/>
          <w:sz w:val="26"/>
          <w:szCs w:val="26"/>
          <w:lang w:val="es-US" w:eastAsia="en-US"/>
        </w:rPr>
      </w:pPr>
    </w:p>
    <w:p w14:paraId="604FD7A7" w14:textId="77777777" w:rsidR="006F2B07" w:rsidRPr="007C0B07" w:rsidRDefault="006F2B07" w:rsidP="00147D9A">
      <w:pPr>
        <w:jc w:val="both"/>
        <w:rPr>
          <w:rFonts w:ascii="Tahoma" w:eastAsiaTheme="minorHAnsi" w:hAnsi="Tahoma" w:cs="Tahoma"/>
          <w:b/>
          <w:sz w:val="26"/>
          <w:szCs w:val="26"/>
          <w:lang w:val="es-US" w:eastAsia="en-US"/>
        </w:rPr>
      </w:pPr>
    </w:p>
    <w:p w14:paraId="14CAB761" w14:textId="297C7BA4" w:rsidR="00B31586" w:rsidRPr="006F2B07" w:rsidRDefault="007C0B07" w:rsidP="00B31586">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B31586" w:rsidRPr="006F2B07">
        <w:rPr>
          <w:rFonts w:ascii="Tahoma" w:eastAsiaTheme="minorHAnsi" w:hAnsi="Tahoma" w:cs="Tahoma"/>
          <w:bCs/>
          <w:sz w:val="26"/>
          <w:szCs w:val="26"/>
          <w:lang w:val="es-US" w:eastAsia="en-US"/>
        </w:rPr>
        <w:t>Lectura del Acuerdo por virtud del cual “La Sexagésima Legislatura del Honorable Congreso del Estado Libre y Soberano de Puebla; exhorta al Sistema para el Desarrollo Integral de la Familia del Estado de Puebla, a suscribir convenios interinstitucionales con el Instituto de Capacitación para el Trabajo del Estado de Puebla, la Secretar</w:t>
      </w:r>
      <w:r w:rsidR="00E42FE5">
        <w:rPr>
          <w:rFonts w:ascii="Tahoma" w:eastAsiaTheme="minorHAnsi" w:hAnsi="Tahoma" w:cs="Tahoma"/>
          <w:bCs/>
          <w:sz w:val="26"/>
          <w:szCs w:val="26"/>
          <w:lang w:val="es-US" w:eastAsia="en-US"/>
        </w:rPr>
        <w:t>í</w:t>
      </w:r>
      <w:r w:rsidR="00B31586" w:rsidRPr="006F2B07">
        <w:rPr>
          <w:rFonts w:ascii="Tahoma" w:eastAsiaTheme="minorHAnsi" w:hAnsi="Tahoma" w:cs="Tahoma"/>
          <w:bCs/>
          <w:sz w:val="26"/>
          <w:szCs w:val="26"/>
          <w:lang w:val="es-US" w:eastAsia="en-US"/>
        </w:rPr>
        <w:t>a de Cultura y el Instituto Poblano del Deporte; y se integren proyectos transversales en favor de niñas, niños y adolescentes que pertenecen a dicho Sistema.”, y en su caso, aprobación.</w:t>
      </w:r>
    </w:p>
    <w:p w14:paraId="3FE9CECB" w14:textId="77777777" w:rsidR="00B31586" w:rsidRPr="00B31586" w:rsidRDefault="00B31586" w:rsidP="00B31586">
      <w:pPr>
        <w:jc w:val="both"/>
        <w:rPr>
          <w:rFonts w:ascii="Tahoma" w:eastAsiaTheme="minorHAnsi" w:hAnsi="Tahoma" w:cs="Tahoma"/>
          <w:b/>
          <w:sz w:val="26"/>
          <w:szCs w:val="26"/>
          <w:lang w:val="es-US" w:eastAsia="en-US"/>
        </w:rPr>
      </w:pPr>
    </w:p>
    <w:p w14:paraId="07AF1153" w14:textId="77777777" w:rsidR="00B31586" w:rsidRPr="00B31586" w:rsidRDefault="00B31586" w:rsidP="00B31586">
      <w:pPr>
        <w:jc w:val="both"/>
        <w:rPr>
          <w:rFonts w:ascii="Tahoma" w:eastAsiaTheme="minorHAnsi" w:hAnsi="Tahoma" w:cs="Tahoma"/>
          <w:b/>
          <w:sz w:val="26"/>
          <w:szCs w:val="26"/>
          <w:lang w:val="es-US" w:eastAsia="en-US"/>
        </w:rPr>
      </w:pPr>
    </w:p>
    <w:p w14:paraId="62384CE1" w14:textId="77777777" w:rsidR="00B31586" w:rsidRPr="006F2B07" w:rsidRDefault="00B31586" w:rsidP="00B31586">
      <w:pPr>
        <w:jc w:val="both"/>
        <w:rPr>
          <w:rFonts w:ascii="Tahoma" w:eastAsiaTheme="minorHAnsi" w:hAnsi="Tahoma" w:cs="Tahoma"/>
          <w:bCs/>
          <w:sz w:val="26"/>
          <w:szCs w:val="26"/>
          <w:lang w:val="es-US" w:eastAsia="en-US"/>
        </w:rPr>
      </w:pPr>
      <w:r w:rsidRPr="00B31586">
        <w:rPr>
          <w:rFonts w:ascii="Tahoma" w:eastAsiaTheme="minorHAnsi" w:hAnsi="Tahoma" w:cs="Tahoma"/>
          <w:b/>
          <w:sz w:val="26"/>
          <w:szCs w:val="26"/>
          <w:lang w:val="es-US" w:eastAsia="en-US"/>
        </w:rPr>
        <w:t xml:space="preserve">5.- </w:t>
      </w:r>
      <w:r w:rsidRPr="006F2B07">
        <w:rPr>
          <w:rFonts w:ascii="Tahoma" w:eastAsiaTheme="minorHAnsi" w:hAnsi="Tahoma" w:cs="Tahoma"/>
          <w:bCs/>
          <w:sz w:val="26"/>
          <w:szCs w:val="26"/>
          <w:lang w:val="es-US" w:eastAsia="en-US"/>
        </w:rPr>
        <w:t>Lectura del Acuerdo por virtud del cual “Se exhorta de manera respetuosa al Sistema para el Desarrollo Integral de la Familia del Estado de Puebla, y a los Sistemas para el Desarrollo Integral de la Familia de los 217 Ayuntamientos, para que implementen de manera urgente, brigadas que recorran los principales puntos de concentración de personas en situación de calle, poniendo especial atención en niñas, niños, mujeres embarazadas y personas adultas mayores, informándolos sobre la pandemia por COVID-19 e invitándolos a resguardarse en los albergues existentes y en caso de que una persona de este sector presente los síntomas de coronavirus, canalizarlos ante los servicios de salud para su valoración y atención médica. Así mismo, en caso de que no quieran asistir a los albergues, puedan recibir paquetes alimentarios e higiénicos que el Gobierno del Estado destinó para hacer frente a esta contingencia”, y en su caso, aprobación.</w:t>
      </w:r>
    </w:p>
    <w:p w14:paraId="24EA48A1" w14:textId="77777777" w:rsidR="00B31586" w:rsidRPr="00B31586" w:rsidRDefault="00B31586" w:rsidP="00B31586">
      <w:pPr>
        <w:jc w:val="both"/>
        <w:rPr>
          <w:rFonts w:ascii="Tahoma" w:eastAsiaTheme="minorHAnsi" w:hAnsi="Tahoma" w:cs="Tahoma"/>
          <w:b/>
          <w:sz w:val="26"/>
          <w:szCs w:val="26"/>
          <w:lang w:val="es-US" w:eastAsia="en-US"/>
        </w:rPr>
      </w:pPr>
    </w:p>
    <w:p w14:paraId="4AF109C0" w14:textId="77777777" w:rsidR="00B31586" w:rsidRPr="00B31586" w:rsidRDefault="00B31586" w:rsidP="00B31586">
      <w:pPr>
        <w:jc w:val="both"/>
        <w:rPr>
          <w:rFonts w:ascii="Tahoma" w:eastAsiaTheme="minorHAnsi" w:hAnsi="Tahoma" w:cs="Tahoma"/>
          <w:b/>
          <w:sz w:val="26"/>
          <w:szCs w:val="26"/>
          <w:lang w:val="es-US" w:eastAsia="en-US"/>
        </w:rPr>
      </w:pPr>
    </w:p>
    <w:p w14:paraId="1752352F" w14:textId="1C0FEC9C" w:rsidR="007C0B07" w:rsidRPr="006F2B07" w:rsidRDefault="00B31586" w:rsidP="001D0E3A">
      <w:pPr>
        <w:jc w:val="both"/>
        <w:rPr>
          <w:rFonts w:ascii="Tahoma" w:eastAsiaTheme="minorHAnsi" w:hAnsi="Tahoma" w:cs="Tahoma"/>
          <w:bCs/>
          <w:sz w:val="26"/>
          <w:szCs w:val="26"/>
          <w:lang w:val="es-US" w:eastAsia="en-US"/>
        </w:rPr>
      </w:pPr>
      <w:r w:rsidRPr="00B31586">
        <w:rPr>
          <w:rFonts w:ascii="Tahoma" w:eastAsiaTheme="minorHAnsi" w:hAnsi="Tahoma" w:cs="Tahoma"/>
          <w:b/>
          <w:sz w:val="26"/>
          <w:szCs w:val="26"/>
          <w:lang w:val="es-US" w:eastAsia="en-US"/>
        </w:rPr>
        <w:t xml:space="preserve">6.- </w:t>
      </w:r>
      <w:r w:rsidRPr="006F2B07">
        <w:rPr>
          <w:rFonts w:ascii="Tahoma" w:eastAsiaTheme="minorHAnsi" w:hAnsi="Tahoma" w:cs="Tahoma"/>
          <w:bCs/>
          <w:sz w:val="26"/>
          <w:szCs w:val="26"/>
          <w:lang w:val="es-US" w:eastAsia="en-US"/>
        </w:rPr>
        <w:t>Asuntos Generales.</w:t>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E5B1" w14:textId="77777777" w:rsidR="00656D21" w:rsidRDefault="00656D21">
      <w:r>
        <w:separator/>
      </w:r>
    </w:p>
  </w:endnote>
  <w:endnote w:type="continuationSeparator" w:id="0">
    <w:p w14:paraId="777676D5" w14:textId="77777777" w:rsidR="00656D21" w:rsidRDefault="0065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C76E" w14:textId="77777777" w:rsidR="00656D21" w:rsidRDefault="00656D21">
      <w:r>
        <w:separator/>
      </w:r>
    </w:p>
  </w:footnote>
  <w:footnote w:type="continuationSeparator" w:id="0">
    <w:p w14:paraId="7C431700" w14:textId="77777777" w:rsidR="00656D21" w:rsidRDefault="0065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5A8CE6F6" w:rsidR="00C66D09" w:rsidRPr="00C66D09" w:rsidRDefault="00225E7C" w:rsidP="009565D6">
    <w:pPr>
      <w:pStyle w:val="Encabezado"/>
      <w:ind w:left="426" w:hanging="142"/>
      <w:jc w:val="center"/>
      <w:rPr>
        <w:rFonts w:ascii="Tahoma" w:hAnsi="Tahoma" w:cs="Tahoma"/>
        <w:b/>
        <w:smallCaps/>
        <w:color w:val="000000"/>
        <w:sz w:val="38"/>
        <w:szCs w:val="38"/>
      </w:rPr>
    </w:pPr>
    <w:r>
      <w:rPr>
        <w:rFonts w:ascii="Lucida Handwriting" w:hAnsi="Lucida Handwriting"/>
        <w:sz w:val="16"/>
        <w:szCs w:val="16"/>
      </w:rPr>
      <w:t xml:space="preserve">       </w:t>
    </w:r>
    <w:r w:rsidR="00977C57">
      <w:rPr>
        <w:rFonts w:ascii="Lucida Handwriting" w:hAnsi="Lucida Handwriting"/>
        <w:sz w:val="16"/>
        <w:szCs w:val="16"/>
      </w:rPr>
      <w:t xml:space="preserve">  </w:t>
    </w:r>
    <w:r>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3E791F28" w14:textId="7C86962A" w:rsidR="002253E6" w:rsidRPr="00977C57" w:rsidRDefault="00225E7C" w:rsidP="00977C57">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977C57">
      <w:rPr>
        <w:rFonts w:ascii="Tahoma" w:hAnsi="Tahoma" w:cs="Tahoma"/>
        <w:b/>
        <w:bCs/>
        <w:sz w:val="34"/>
        <w:szCs w:val="34"/>
      </w:rPr>
      <w:t xml:space="preserve">GRUPOS VULNERABLES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2CB"/>
    <w:rsid w:val="001A560F"/>
    <w:rsid w:val="001C5850"/>
    <w:rsid w:val="001D0E3A"/>
    <w:rsid w:val="001D3F97"/>
    <w:rsid w:val="001E5F6E"/>
    <w:rsid w:val="00210B58"/>
    <w:rsid w:val="00216515"/>
    <w:rsid w:val="002239FB"/>
    <w:rsid w:val="002253E6"/>
    <w:rsid w:val="00225E7C"/>
    <w:rsid w:val="002346E2"/>
    <w:rsid w:val="00240CFA"/>
    <w:rsid w:val="00273E08"/>
    <w:rsid w:val="00281575"/>
    <w:rsid w:val="00287D89"/>
    <w:rsid w:val="00297BF5"/>
    <w:rsid w:val="002A2954"/>
    <w:rsid w:val="002B6A4A"/>
    <w:rsid w:val="00335B2E"/>
    <w:rsid w:val="00354EA7"/>
    <w:rsid w:val="003577A9"/>
    <w:rsid w:val="00361FFE"/>
    <w:rsid w:val="0036572E"/>
    <w:rsid w:val="00377E9C"/>
    <w:rsid w:val="00395462"/>
    <w:rsid w:val="003A7AA5"/>
    <w:rsid w:val="003B3242"/>
    <w:rsid w:val="004104ED"/>
    <w:rsid w:val="00411A3A"/>
    <w:rsid w:val="0045074C"/>
    <w:rsid w:val="0045604D"/>
    <w:rsid w:val="004615D0"/>
    <w:rsid w:val="004622AE"/>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D39E3"/>
    <w:rsid w:val="005F5D6D"/>
    <w:rsid w:val="005F6CAC"/>
    <w:rsid w:val="0060173E"/>
    <w:rsid w:val="006123A7"/>
    <w:rsid w:val="0061593F"/>
    <w:rsid w:val="0062135F"/>
    <w:rsid w:val="006268C1"/>
    <w:rsid w:val="006343AA"/>
    <w:rsid w:val="00641D0A"/>
    <w:rsid w:val="00656D21"/>
    <w:rsid w:val="00670605"/>
    <w:rsid w:val="00674A9D"/>
    <w:rsid w:val="006877AE"/>
    <w:rsid w:val="006A06E9"/>
    <w:rsid w:val="006A5C8D"/>
    <w:rsid w:val="006B6C7E"/>
    <w:rsid w:val="006E05FF"/>
    <w:rsid w:val="006F2B07"/>
    <w:rsid w:val="006F2FB2"/>
    <w:rsid w:val="006F759F"/>
    <w:rsid w:val="007013CC"/>
    <w:rsid w:val="00701819"/>
    <w:rsid w:val="00714A73"/>
    <w:rsid w:val="007242CE"/>
    <w:rsid w:val="007313C4"/>
    <w:rsid w:val="0073435E"/>
    <w:rsid w:val="00755F5F"/>
    <w:rsid w:val="00755F8D"/>
    <w:rsid w:val="00767460"/>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418E7"/>
    <w:rsid w:val="009565D6"/>
    <w:rsid w:val="00967A29"/>
    <w:rsid w:val="0097600D"/>
    <w:rsid w:val="00977C57"/>
    <w:rsid w:val="00987846"/>
    <w:rsid w:val="00987CF2"/>
    <w:rsid w:val="009C61E6"/>
    <w:rsid w:val="009D269B"/>
    <w:rsid w:val="009D315D"/>
    <w:rsid w:val="009F207B"/>
    <w:rsid w:val="009F6FD3"/>
    <w:rsid w:val="00A033E6"/>
    <w:rsid w:val="00A0539B"/>
    <w:rsid w:val="00A664A5"/>
    <w:rsid w:val="00A71522"/>
    <w:rsid w:val="00A81236"/>
    <w:rsid w:val="00A97D58"/>
    <w:rsid w:val="00AB492F"/>
    <w:rsid w:val="00AB5939"/>
    <w:rsid w:val="00AC1AAB"/>
    <w:rsid w:val="00AC6C32"/>
    <w:rsid w:val="00AD13F0"/>
    <w:rsid w:val="00AD34F9"/>
    <w:rsid w:val="00AE7BBD"/>
    <w:rsid w:val="00AF0FFB"/>
    <w:rsid w:val="00AF13F3"/>
    <w:rsid w:val="00B31586"/>
    <w:rsid w:val="00B40F73"/>
    <w:rsid w:val="00B5278D"/>
    <w:rsid w:val="00B6511F"/>
    <w:rsid w:val="00B7697F"/>
    <w:rsid w:val="00B7751C"/>
    <w:rsid w:val="00B85000"/>
    <w:rsid w:val="00B85795"/>
    <w:rsid w:val="00B87099"/>
    <w:rsid w:val="00BA0D81"/>
    <w:rsid w:val="00BA2B06"/>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076ED"/>
    <w:rsid w:val="00E17429"/>
    <w:rsid w:val="00E233CD"/>
    <w:rsid w:val="00E35DDB"/>
    <w:rsid w:val="00E42FE5"/>
    <w:rsid w:val="00E432C9"/>
    <w:rsid w:val="00E60CA0"/>
    <w:rsid w:val="00EA6705"/>
    <w:rsid w:val="00EB4BEF"/>
    <w:rsid w:val="00ED6457"/>
    <w:rsid w:val="00EE253D"/>
    <w:rsid w:val="00EF5152"/>
    <w:rsid w:val="00F1199A"/>
    <w:rsid w:val="00F23E7C"/>
    <w:rsid w:val="00F372E3"/>
    <w:rsid w:val="00F649C2"/>
    <w:rsid w:val="00F87840"/>
    <w:rsid w:val="00FB0A3D"/>
    <w:rsid w:val="00FC1CF3"/>
    <w:rsid w:val="00FD26CF"/>
    <w:rsid w:val="00FE6281"/>
    <w:rsid w:val="00FF64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7</cp:revision>
  <cp:lastPrinted>2017-08-31T17:15:00Z</cp:lastPrinted>
  <dcterms:created xsi:type="dcterms:W3CDTF">2020-05-21T23:15:00Z</dcterms:created>
  <dcterms:modified xsi:type="dcterms:W3CDTF">2020-05-22T00:32:00Z</dcterms:modified>
</cp:coreProperties>
</file>