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A4F0" w14:textId="77777777" w:rsidR="00583984" w:rsidRPr="00583984" w:rsidRDefault="00583984" w:rsidP="00583984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583984">
        <w:rPr>
          <w:rFonts w:ascii="Arial" w:hAnsi="Arial" w:cs="Arial"/>
          <w:sz w:val="26"/>
          <w:szCs w:val="26"/>
          <w:lang w:val="es-MX"/>
        </w:rPr>
        <w:t>SEXAGÉSIMA PRIMERA LEGISLATURA DEL HONORABLE CONGRESO DEL ESTADO LIBRE Y SOBERANO DE PUEBLA. --------</w:t>
      </w:r>
    </w:p>
    <w:p w14:paraId="64E44BA0" w14:textId="2CDA65D3" w:rsidR="00583984" w:rsidRPr="00583984" w:rsidRDefault="00583984" w:rsidP="0058398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583984">
        <w:rPr>
          <w:rFonts w:ascii="Arial" w:hAnsi="Arial" w:cs="Arial"/>
          <w:b/>
          <w:sz w:val="26"/>
          <w:szCs w:val="26"/>
          <w:lang w:val="es-MX"/>
        </w:rPr>
        <w:t>ACTA DE LA SESIÓN DE LA COMISIÓN DE PRESUPUESTO Y CRÉDITO PÚBLICO, EFECTUADA EL JUEVES ONCE DE NOVIEMBRE DE DOS MIL VEINTIUNO. ---------------------------------------</w:t>
      </w:r>
      <w:r w:rsidRPr="00583984">
        <w:rPr>
          <w:rFonts w:ascii="Arial" w:hAnsi="Arial" w:cs="Arial"/>
          <w:sz w:val="26"/>
          <w:szCs w:val="26"/>
          <w:lang w:val="es-MX"/>
        </w:rPr>
        <w:t xml:space="preserve">En la Cuatro Veces Heroica Puebla de Zaragoza, a los once días del mes de noviembre del año dos mil veintiuno, con fundamento en el artículo 116 fracción V de la Ley Orgánica del Poder Legislativo, 181 Ter fracción X del Reglamento Interior del Honorable Congreso, ambos del Estado Libre y Soberano de Puebla, </w:t>
      </w:r>
      <w:r w:rsidRPr="00583984">
        <w:rPr>
          <w:rFonts w:ascii="Arial" w:hAnsi="Arial" w:cs="Arial"/>
          <w:sz w:val="26"/>
          <w:szCs w:val="26"/>
        </w:rPr>
        <w:t xml:space="preserve">reunidas las diputadas y diputados integrantes de la </w:t>
      </w:r>
      <w:r w:rsidRPr="00583984">
        <w:rPr>
          <w:rFonts w:ascii="Arial" w:hAnsi="Arial" w:cs="Arial"/>
          <w:sz w:val="26"/>
          <w:szCs w:val="26"/>
          <w:lang w:val="es-MX"/>
        </w:rPr>
        <w:t>Comisión de Presupuesto y Crédito Público</w:t>
      </w:r>
      <w:r w:rsidRPr="00583984">
        <w:rPr>
          <w:rFonts w:ascii="Arial" w:hAnsi="Arial" w:cs="Arial"/>
          <w:sz w:val="26"/>
          <w:szCs w:val="26"/>
        </w:rPr>
        <w:t>, en la sala tres “Legisladores de Puebla” de este Palacio Legislativo, siendo las nueve horas con diecinueve minutos</w:t>
      </w:r>
      <w:r w:rsidRPr="00583984">
        <w:rPr>
          <w:rFonts w:ascii="Arial" w:hAnsi="Arial" w:cs="Arial"/>
          <w:sz w:val="26"/>
          <w:szCs w:val="26"/>
          <w:lang w:val="es-MX"/>
        </w:rPr>
        <w:t xml:space="preserve">. El diputado presidente solicitó al diputado secretario procediera al pase de lista para verificar el quórum legal, y de esa manera, atender lo establecido en el </w:t>
      </w:r>
      <w:r w:rsidRPr="00583984">
        <w:rPr>
          <w:rFonts w:ascii="Arial" w:hAnsi="Arial" w:cs="Arial"/>
          <w:b/>
          <w:sz w:val="26"/>
          <w:szCs w:val="26"/>
          <w:lang w:val="es-MX"/>
        </w:rPr>
        <w:t>punto uno</w:t>
      </w:r>
      <w:r w:rsidRPr="00583984">
        <w:rPr>
          <w:rFonts w:ascii="Arial" w:hAnsi="Arial" w:cs="Arial"/>
          <w:sz w:val="26"/>
          <w:szCs w:val="26"/>
          <w:lang w:val="es-MX"/>
        </w:rPr>
        <w:t xml:space="preserve"> del orden del día. ------------------------------------------------</w:t>
      </w:r>
      <w:r w:rsidR="00E27D65">
        <w:rPr>
          <w:rFonts w:ascii="Arial" w:hAnsi="Arial" w:cs="Arial"/>
          <w:sz w:val="26"/>
          <w:szCs w:val="26"/>
          <w:lang w:val="es-MX"/>
        </w:rPr>
        <w:t>--------------------</w:t>
      </w:r>
      <w:r w:rsidRPr="00583984">
        <w:rPr>
          <w:rFonts w:ascii="Arial" w:hAnsi="Arial" w:cs="Arial"/>
          <w:sz w:val="26"/>
          <w:szCs w:val="26"/>
          <w:lang w:val="es-MX"/>
        </w:rPr>
        <w:t>----------------</w:t>
      </w:r>
    </w:p>
    <w:p w14:paraId="25361B0F" w14:textId="77777777" w:rsidR="00583984" w:rsidRPr="00583984" w:rsidRDefault="00583984" w:rsidP="0058398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3984">
        <w:rPr>
          <w:rFonts w:ascii="Arial" w:hAnsi="Arial" w:cs="Arial"/>
          <w:sz w:val="26"/>
          <w:szCs w:val="26"/>
        </w:rPr>
        <w:t xml:space="preserve">Verificado el quórum, y para dar cumplimiento al </w:t>
      </w:r>
      <w:r w:rsidRPr="00583984">
        <w:rPr>
          <w:rFonts w:ascii="Arial" w:hAnsi="Arial" w:cs="Arial"/>
          <w:b/>
          <w:sz w:val="26"/>
          <w:szCs w:val="26"/>
        </w:rPr>
        <w:t>punto dos,</w:t>
      </w:r>
      <w:r w:rsidRPr="00583984">
        <w:rPr>
          <w:rFonts w:ascii="Arial" w:hAnsi="Arial" w:cs="Arial"/>
          <w:sz w:val="26"/>
          <w:szCs w:val="26"/>
        </w:rPr>
        <w:t xml:space="preserve"> respecto de la lectura del orden del día y, en su caso, aprobación. El diputado presidente solicitó a la secretaría diera cuenta del contenido de este. Al término de la lectura, y puesta a consideración de los y las legisladoras, resultó aprobado por unanimidad. -------------------------------------------------</w:t>
      </w:r>
    </w:p>
    <w:p w14:paraId="27B8D170" w14:textId="78CE2A5D" w:rsidR="00583984" w:rsidRPr="00583984" w:rsidRDefault="00583984" w:rsidP="0058398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3984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583984">
        <w:rPr>
          <w:rFonts w:ascii="Arial" w:hAnsi="Arial" w:cs="Arial"/>
          <w:b/>
          <w:sz w:val="26"/>
          <w:szCs w:val="26"/>
        </w:rPr>
        <w:t>tercer punto</w:t>
      </w:r>
      <w:r w:rsidRPr="00583984">
        <w:rPr>
          <w:rFonts w:ascii="Arial" w:hAnsi="Arial" w:cs="Arial"/>
          <w:sz w:val="26"/>
          <w:szCs w:val="26"/>
        </w:rPr>
        <w:t>, se dispensó la lectura del acta de la sesión anterior del nueve de noviembre del año en curso, y puesta a consideración de los y las legisladoras, se aprobó el contenido por unanimidad. -------------</w:t>
      </w:r>
      <w:r w:rsidR="00E27D65">
        <w:rPr>
          <w:rFonts w:ascii="Arial" w:hAnsi="Arial" w:cs="Arial"/>
          <w:sz w:val="26"/>
          <w:szCs w:val="26"/>
        </w:rPr>
        <w:t>----------------------</w:t>
      </w:r>
      <w:r w:rsidRPr="00583984">
        <w:rPr>
          <w:rFonts w:ascii="Arial" w:hAnsi="Arial" w:cs="Arial"/>
          <w:sz w:val="26"/>
          <w:szCs w:val="26"/>
        </w:rPr>
        <w:t xml:space="preserve">----------En el </w:t>
      </w:r>
      <w:r w:rsidRPr="00583984">
        <w:rPr>
          <w:rFonts w:ascii="Arial" w:hAnsi="Arial" w:cs="Arial"/>
          <w:b/>
          <w:bCs/>
          <w:sz w:val="26"/>
          <w:szCs w:val="26"/>
        </w:rPr>
        <w:t>punto cuatro</w:t>
      </w:r>
      <w:r w:rsidRPr="00583984">
        <w:rPr>
          <w:rFonts w:ascii="Arial" w:hAnsi="Arial" w:cs="Arial"/>
          <w:sz w:val="26"/>
          <w:szCs w:val="26"/>
        </w:rPr>
        <w:t xml:space="preserve">, referente a la </w:t>
      </w:r>
      <w:r w:rsidRPr="00583984">
        <w:rPr>
          <w:rFonts w:ascii="Arial" w:hAnsi="Arial" w:cs="Arial"/>
          <w:bCs/>
          <w:sz w:val="26"/>
          <w:szCs w:val="26"/>
          <w:lang w:val="es-MX"/>
        </w:rPr>
        <w:t>lectura del Proyecto de Dictamen de Acuerdo</w:t>
      </w:r>
      <w:bookmarkStart w:id="1" w:name="_Hlk87393773"/>
      <w:r w:rsidRPr="00583984">
        <w:rPr>
          <w:rFonts w:ascii="Arial" w:hAnsi="Arial" w:cs="Arial"/>
          <w:bCs/>
          <w:sz w:val="26"/>
          <w:szCs w:val="26"/>
          <w:lang w:val="es-MX"/>
        </w:rPr>
        <w:t xml:space="preserve"> por virtud del cual </w:t>
      </w:r>
      <w:bookmarkEnd w:id="1"/>
      <w:r w:rsidRPr="00583984">
        <w:rPr>
          <w:rFonts w:ascii="Arial" w:hAnsi="Arial" w:cs="Arial"/>
          <w:sz w:val="26"/>
          <w:szCs w:val="26"/>
          <w:lang w:val="es-ES_tradnl"/>
        </w:rPr>
        <w:t xml:space="preserve">se solicita respetuosamente al titular del Poder Ejecutivo del Estado de Puebla para que, por conducto de la Secretaría de Salud y de la Secretaría de Planeación y Finanzas del Gobierno del Estado que, atendiendo a la suficiencia presupuestaria respectiva, contemplen recursos económicos necesarios en la Iniciativa de Ley de Egresos del Estado de Puebla para el ejercicio fiscal 2022, </w:t>
      </w:r>
      <w:r w:rsidRPr="00583984">
        <w:rPr>
          <w:rFonts w:ascii="Arial" w:hAnsi="Arial" w:cs="Arial"/>
          <w:sz w:val="26"/>
          <w:szCs w:val="26"/>
          <w:lang w:val="es-ES_tradnl"/>
        </w:rPr>
        <w:lastRenderedPageBreak/>
        <w:t>con el fin de que hospitales, clínicas, centros médicos, unidades y casas de salud del estado, tengan el material, equipo y medicamento básico correspondiente para atender el virus SARS-CoV-2 (COVID-19), y cuenten con el personal de salud necesario para brindar la atención respectiva a las y los pacientes poblanos y, en específico, los correspondientes a los municipios de Oriental, San Nicolás Buenos Aires, San Salvador El Seco, Aljojuca, San Juan Atenco, Chalchicomula de Sesma, Tlachichuca, Atzitzintla, Esperanza, Chilchotla, Quimixtlán y Chichiquila</w:t>
      </w:r>
      <w:r w:rsidRPr="00583984">
        <w:rPr>
          <w:rFonts w:ascii="Arial" w:hAnsi="Arial" w:cs="Arial"/>
          <w:sz w:val="26"/>
          <w:szCs w:val="26"/>
          <w:lang w:val="es-MX"/>
        </w:rPr>
        <w:t>. Enseguida, el área jurídica expone el contenido del dictamen. Al término de la exposición se procedió con la discusión del dictamen de referencia,</w:t>
      </w:r>
      <w:r w:rsidRPr="00583984">
        <w:rPr>
          <w:rFonts w:ascii="Arial" w:hAnsi="Arial" w:cs="Arial"/>
          <w:sz w:val="26"/>
          <w:szCs w:val="26"/>
        </w:rPr>
        <w:t xml:space="preserve"> con las participaciones de las diputadas Karla Rodríguez Palacios, Nora Merino Escamilla y de los diputados Roberto Solís Valles y </w:t>
      </w:r>
      <w:r w:rsidRPr="00583984">
        <w:rPr>
          <w:rFonts w:ascii="Arial" w:hAnsi="Arial" w:cs="Arial"/>
          <w:bCs/>
          <w:sz w:val="26"/>
          <w:szCs w:val="26"/>
        </w:rPr>
        <w:t xml:space="preserve">Charbel Jorge Estefan Chidiac. Intervenciones que se encuentran de manera íntegra en la </w:t>
      </w:r>
      <w:r w:rsidRPr="00583984">
        <w:rPr>
          <w:rFonts w:ascii="Arial" w:hAnsi="Arial" w:cs="Arial"/>
          <w:sz w:val="26"/>
          <w:szCs w:val="26"/>
        </w:rPr>
        <w:t xml:space="preserve">versión estenográfica de este día. A continuación, el </w:t>
      </w:r>
      <w:r w:rsidRPr="00583984">
        <w:rPr>
          <w:rFonts w:ascii="Arial" w:hAnsi="Arial" w:cs="Arial"/>
          <w:bCs/>
          <w:sz w:val="26"/>
          <w:szCs w:val="26"/>
          <w:lang w:val="es-US"/>
        </w:rPr>
        <w:t xml:space="preserve">diputado presidente </w:t>
      </w:r>
      <w:r w:rsidRPr="00583984">
        <w:rPr>
          <w:rFonts w:ascii="Arial" w:hAnsi="Arial" w:cs="Arial"/>
          <w:bCs/>
          <w:sz w:val="26"/>
          <w:szCs w:val="26"/>
        </w:rPr>
        <w:t>preguntó a las y los diputados si existía algún comentario adicional en el tema, y al no haberlo, solicitó al diputado secretario procediera a recoger la votación respecto a la propuesta modificatoria presentada por la diputada Karla Rodríguez Palacios, la cual no fue aprobada con tres votos a favor de las diputadas Nancy Jiménez Morales, Karla Rodríguez Palacios y del diputado Charbel Jorge Estefan Chidiac, y cuatro abstenciones de las diputadas Nora Yessica Merino Escamilla, Tonantzin Fernández Díaz y de los diputados Fernando Sánchez Sasia y Roberto Solís Valles. Acto seguido, el diputado presidente solicitó al diputado secretario procediera a recabar la votación respecto al dictamen de referencia, aprobándose por mayoría con cuatro votos a favor de las diputadas Nora Yessica Merino Escamilla, Tonantzin Fernández Díaz y de los diputados Fernando Sánchez Sasia y Roberto Solís Valles, y tres abstenciones de las diputadas Nancy Jiménez Morales, Karla Rodríguez Palacios y del diputado Charbel Jorge Estefan Chidiac. ---</w:t>
      </w:r>
      <w:r w:rsidR="00E27D65">
        <w:rPr>
          <w:rFonts w:ascii="Arial" w:hAnsi="Arial" w:cs="Arial"/>
          <w:bCs/>
          <w:sz w:val="26"/>
          <w:szCs w:val="26"/>
        </w:rPr>
        <w:t>----------------------------------</w:t>
      </w:r>
      <w:r w:rsidRPr="00583984">
        <w:rPr>
          <w:rFonts w:ascii="Arial" w:hAnsi="Arial" w:cs="Arial"/>
          <w:bCs/>
          <w:sz w:val="26"/>
          <w:szCs w:val="26"/>
        </w:rPr>
        <w:t>---</w:t>
      </w:r>
    </w:p>
    <w:p w14:paraId="784777FF" w14:textId="1D8F2B4D" w:rsidR="00583984" w:rsidRPr="00583984" w:rsidRDefault="00583984" w:rsidP="0058398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3984">
        <w:rPr>
          <w:rFonts w:ascii="Arial" w:hAnsi="Arial" w:cs="Arial"/>
          <w:sz w:val="26"/>
          <w:szCs w:val="26"/>
        </w:rPr>
        <w:t xml:space="preserve">Respecto del </w:t>
      </w:r>
      <w:r w:rsidRPr="00583984">
        <w:rPr>
          <w:rFonts w:ascii="Arial" w:hAnsi="Arial" w:cs="Arial"/>
          <w:b/>
          <w:bCs/>
          <w:sz w:val="26"/>
          <w:szCs w:val="26"/>
        </w:rPr>
        <w:t>punto cinco</w:t>
      </w:r>
      <w:r w:rsidRPr="00583984">
        <w:rPr>
          <w:rFonts w:ascii="Arial" w:hAnsi="Arial" w:cs="Arial"/>
          <w:sz w:val="26"/>
          <w:szCs w:val="26"/>
        </w:rPr>
        <w:t>,</w:t>
      </w:r>
      <w:r w:rsidRPr="00583984">
        <w:rPr>
          <w:rFonts w:ascii="Arial" w:hAnsi="Arial" w:cs="Arial"/>
          <w:sz w:val="26"/>
          <w:szCs w:val="26"/>
          <w:lang w:val="es-MX"/>
        </w:rPr>
        <w:t xml:space="preserve"> relativo </w:t>
      </w:r>
      <w:bookmarkStart w:id="2" w:name="_Hlk43275457"/>
      <w:r w:rsidRPr="00583984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2"/>
      <w:r w:rsidRPr="00583984">
        <w:rPr>
          <w:rFonts w:ascii="Arial" w:hAnsi="Arial" w:cs="Arial"/>
          <w:sz w:val="26"/>
          <w:szCs w:val="26"/>
          <w:lang w:val="es-MX"/>
        </w:rPr>
        <w:t>asuntos generales, n</w:t>
      </w:r>
      <w:r w:rsidRPr="00583984">
        <w:rPr>
          <w:rFonts w:ascii="Arial" w:hAnsi="Arial" w:cs="Arial"/>
          <w:sz w:val="26"/>
          <w:szCs w:val="26"/>
        </w:rPr>
        <w:t>o habiendo intervenciones, y terminados los asuntos del orden del día, se dio por concluida la sesión, siendo las nueve horas con cincuenta y dos minutos, del mismo día de su inicio. Firmando de conformidad. ----</w:t>
      </w:r>
      <w:r w:rsidR="00E27D65">
        <w:rPr>
          <w:rFonts w:ascii="Arial" w:hAnsi="Arial" w:cs="Arial"/>
          <w:sz w:val="26"/>
          <w:szCs w:val="26"/>
        </w:rPr>
        <w:t>-------------</w:t>
      </w:r>
      <w:r w:rsidRPr="00583984">
        <w:rPr>
          <w:rFonts w:ascii="Arial" w:hAnsi="Arial" w:cs="Arial"/>
          <w:sz w:val="26"/>
          <w:szCs w:val="26"/>
        </w:rPr>
        <w:t>------</w:t>
      </w:r>
    </w:p>
    <w:p w14:paraId="68D36852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11560734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2C5F2192" w14:textId="77777777" w:rsidR="00583984" w:rsidRPr="00583984" w:rsidRDefault="00583984" w:rsidP="00583984">
      <w:pPr>
        <w:jc w:val="center"/>
        <w:rPr>
          <w:rFonts w:ascii="Arial" w:hAnsi="Arial" w:cs="Arial"/>
          <w:b/>
          <w:sz w:val="26"/>
          <w:szCs w:val="26"/>
        </w:rPr>
      </w:pPr>
    </w:p>
    <w:p w14:paraId="5897A30C" w14:textId="77777777" w:rsidR="00583984" w:rsidRPr="00583984" w:rsidRDefault="00583984" w:rsidP="00583984">
      <w:pPr>
        <w:jc w:val="center"/>
        <w:rPr>
          <w:rFonts w:ascii="Arial" w:hAnsi="Arial" w:cs="Arial"/>
          <w:b/>
          <w:sz w:val="26"/>
          <w:szCs w:val="26"/>
        </w:rPr>
      </w:pPr>
    </w:p>
    <w:p w14:paraId="4C56E85D" w14:textId="77777777" w:rsidR="00583984" w:rsidRPr="00583984" w:rsidRDefault="00583984" w:rsidP="00583984">
      <w:pPr>
        <w:jc w:val="center"/>
        <w:rPr>
          <w:rFonts w:ascii="Arial" w:hAnsi="Arial" w:cs="Arial"/>
          <w:b/>
          <w:sz w:val="26"/>
          <w:szCs w:val="26"/>
        </w:rPr>
      </w:pPr>
      <w:r w:rsidRPr="00583984">
        <w:rPr>
          <w:rFonts w:ascii="Arial" w:hAnsi="Arial" w:cs="Arial"/>
          <w:b/>
          <w:sz w:val="26"/>
          <w:szCs w:val="26"/>
        </w:rPr>
        <w:t>DIP. FERNANDO SÁNCHEZ SASIA</w:t>
      </w:r>
    </w:p>
    <w:p w14:paraId="3D1D0BEE" w14:textId="77777777" w:rsidR="00583984" w:rsidRPr="00583984" w:rsidRDefault="00583984" w:rsidP="00583984">
      <w:pPr>
        <w:jc w:val="center"/>
        <w:rPr>
          <w:rFonts w:ascii="Arial" w:hAnsi="Arial" w:cs="Arial"/>
          <w:sz w:val="26"/>
          <w:szCs w:val="26"/>
        </w:rPr>
      </w:pPr>
      <w:r w:rsidRPr="00583984">
        <w:rPr>
          <w:rFonts w:ascii="Arial" w:hAnsi="Arial" w:cs="Arial"/>
          <w:b/>
          <w:sz w:val="26"/>
          <w:szCs w:val="26"/>
        </w:rPr>
        <w:t>PRESIDENTE</w:t>
      </w:r>
    </w:p>
    <w:p w14:paraId="1E5F82A1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512313CF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49BBC451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43672247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583984" w:rsidRPr="00583984" w14:paraId="293DA16B" w14:textId="77777777" w:rsidTr="00E246F2">
        <w:tc>
          <w:tcPr>
            <w:tcW w:w="3261" w:type="dxa"/>
          </w:tcPr>
          <w:p w14:paraId="669AE93D" w14:textId="77777777" w:rsidR="00583984" w:rsidRPr="00583984" w:rsidRDefault="00583984" w:rsidP="005839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5FF2B521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CHARBEL JORGE ESTEFAN CHIDIAC</w:t>
            </w:r>
          </w:p>
          <w:p w14:paraId="7D1BA95F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SECRETARIO</w:t>
            </w:r>
          </w:p>
        </w:tc>
      </w:tr>
    </w:tbl>
    <w:p w14:paraId="3C663BBF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390ED8DE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09A28542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3ADEE8D4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678"/>
        <w:gridCol w:w="4077"/>
      </w:tblGrid>
      <w:tr w:rsidR="00583984" w:rsidRPr="00583984" w14:paraId="297AF653" w14:textId="77777777" w:rsidTr="00E246F2">
        <w:tc>
          <w:tcPr>
            <w:tcW w:w="4678" w:type="dxa"/>
            <w:hideMark/>
          </w:tcPr>
          <w:p w14:paraId="1496DB2B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TONANTZIN FERNÁNDEZ DÍAZ</w:t>
            </w:r>
          </w:p>
          <w:p w14:paraId="7A62C567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4077" w:type="dxa"/>
          </w:tcPr>
          <w:p w14:paraId="3A3BF6E1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D4886CC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1268263D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408FBBD1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6525099B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583984" w:rsidRPr="00583984" w14:paraId="4E035D37" w14:textId="77777777" w:rsidTr="00E246F2">
        <w:tc>
          <w:tcPr>
            <w:tcW w:w="3261" w:type="dxa"/>
          </w:tcPr>
          <w:p w14:paraId="58EE607D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4BF88BCD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NORA YESSICA MERINO ESCAMILLA</w:t>
            </w:r>
          </w:p>
          <w:p w14:paraId="191822FF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721BD2E1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30760204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3A382C18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180069FD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583984" w:rsidRPr="00583984" w14:paraId="5236C8F0" w14:textId="77777777" w:rsidTr="00E246F2">
        <w:tc>
          <w:tcPr>
            <w:tcW w:w="4111" w:type="dxa"/>
            <w:hideMark/>
          </w:tcPr>
          <w:p w14:paraId="62EEDD82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ROBERTO SOLÍS VALLES</w:t>
            </w:r>
          </w:p>
          <w:p w14:paraId="00B4B2D3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2F3D0007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AC76D9A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6FC476F9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5F1519FA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47927ED6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395"/>
        <w:gridCol w:w="4360"/>
      </w:tblGrid>
      <w:tr w:rsidR="00583984" w:rsidRPr="00583984" w14:paraId="0A7AF8A8" w14:textId="77777777" w:rsidTr="00E246F2">
        <w:tc>
          <w:tcPr>
            <w:tcW w:w="4395" w:type="dxa"/>
          </w:tcPr>
          <w:p w14:paraId="5A18AA9D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14:paraId="7F561ED3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NANCY JIMÉNEZ MORALES</w:t>
            </w:r>
          </w:p>
          <w:p w14:paraId="25E98408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2AA1FF07" w14:textId="77777777" w:rsidR="00583984" w:rsidRPr="00583984" w:rsidRDefault="00583984" w:rsidP="00583984">
      <w:pPr>
        <w:jc w:val="both"/>
        <w:rPr>
          <w:rFonts w:ascii="Arial" w:hAnsi="Arial" w:cs="Arial"/>
          <w:sz w:val="20"/>
          <w:szCs w:val="20"/>
        </w:rPr>
      </w:pPr>
    </w:p>
    <w:p w14:paraId="23C179A6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5064A16E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p w14:paraId="3F91E7C8" w14:textId="77777777" w:rsidR="00583984" w:rsidRPr="00583984" w:rsidRDefault="00583984" w:rsidP="0058398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62"/>
        <w:gridCol w:w="3368"/>
      </w:tblGrid>
      <w:tr w:rsidR="00583984" w:rsidRPr="00583984" w14:paraId="6A3D7261" w14:textId="77777777" w:rsidTr="00E246F2">
        <w:tc>
          <w:tcPr>
            <w:tcW w:w="4962" w:type="dxa"/>
            <w:hideMark/>
          </w:tcPr>
          <w:p w14:paraId="5B75AFEF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>DIP. KARLA RODRÍGUEZ PALACIOS</w:t>
            </w:r>
          </w:p>
          <w:p w14:paraId="4CEB3A37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3984"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368" w:type="dxa"/>
          </w:tcPr>
          <w:p w14:paraId="77253A60" w14:textId="77777777" w:rsidR="00583984" w:rsidRPr="00583984" w:rsidRDefault="00583984" w:rsidP="005839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259D6AB" w14:textId="77777777" w:rsidR="00583984" w:rsidRPr="00583984" w:rsidRDefault="00583984" w:rsidP="00583984">
      <w:pPr>
        <w:jc w:val="both"/>
        <w:rPr>
          <w:rFonts w:ascii="Arial" w:hAnsi="Arial" w:cs="Arial"/>
          <w:sz w:val="20"/>
          <w:szCs w:val="20"/>
        </w:rPr>
      </w:pPr>
    </w:p>
    <w:p w14:paraId="5C070E1C" w14:textId="2D26BB16" w:rsidR="004A5079" w:rsidRPr="00583984" w:rsidRDefault="004A5079" w:rsidP="00583984"/>
    <w:sectPr w:rsidR="004A5079" w:rsidRPr="00583984" w:rsidSect="00F37B9A">
      <w:headerReference w:type="even" r:id="rId6"/>
      <w:headerReference w:type="default" r:id="rId7"/>
      <w:headerReference w:type="first" r:id="rId8"/>
      <w:pgSz w:w="12240" w:h="19293" w:code="305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86B7" w14:textId="77777777" w:rsidR="0080630E" w:rsidRDefault="0080630E" w:rsidP="004A5079">
      <w:r>
        <w:separator/>
      </w:r>
    </w:p>
  </w:endnote>
  <w:endnote w:type="continuationSeparator" w:id="0">
    <w:p w14:paraId="122491C6" w14:textId="77777777" w:rsidR="0080630E" w:rsidRDefault="0080630E" w:rsidP="004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AA6A" w14:textId="77777777" w:rsidR="0080630E" w:rsidRDefault="0080630E" w:rsidP="004A5079">
      <w:r>
        <w:separator/>
      </w:r>
    </w:p>
  </w:footnote>
  <w:footnote w:type="continuationSeparator" w:id="0">
    <w:p w14:paraId="346EFC8C" w14:textId="77777777" w:rsidR="0080630E" w:rsidRDefault="0080630E" w:rsidP="004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80630E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F30" w14:textId="77777777" w:rsidR="000F0089" w:rsidRDefault="000F0089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A1DFC07" w14:textId="1FDB566A" w:rsidR="00583984" w:rsidRPr="00583984" w:rsidRDefault="00E93410" w:rsidP="00583984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14A8D" wp14:editId="36084BDF">
          <wp:simplePos x="0" y="0"/>
          <wp:positionH relativeFrom="column">
            <wp:posOffset>-1661795</wp:posOffset>
          </wp:positionH>
          <wp:positionV relativeFrom="paragraph">
            <wp:posOffset>-421640</wp:posOffset>
          </wp:positionV>
          <wp:extent cx="1500845" cy="1752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43" cy="175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984" w:rsidRPr="00583984">
      <w:rPr>
        <w:rFonts w:ascii="Copperplate Gothic Light" w:hAnsi="Copperplate Gothic Light" w:cs="Arial"/>
        <w:sz w:val="32"/>
        <w:szCs w:val="32"/>
        <w:lang w:val="es-MX"/>
      </w:rPr>
      <w:t xml:space="preserve"> Comisión de Presupuesto y Crédito Público</w:t>
    </w:r>
  </w:p>
  <w:p w14:paraId="7B5A6F3B" w14:textId="77777777" w:rsidR="00583984" w:rsidRPr="00583984" w:rsidRDefault="00583984" w:rsidP="00583984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</w:p>
  <w:p w14:paraId="334FFC38" w14:textId="74156EAC" w:rsidR="00E93410" w:rsidRDefault="00E93410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7543B08C" w14:textId="77777777" w:rsidR="00583984" w:rsidRDefault="00583984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081A4D55" w14:textId="77777777" w:rsidR="00583984" w:rsidRPr="00E93410" w:rsidRDefault="00583984" w:rsidP="00E93410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1E8BB37B" w14:textId="29FB75B3" w:rsidR="00E93410" w:rsidRDefault="00E93410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  <w:r w:rsidRPr="00E93410">
      <w:rPr>
        <w:rFonts w:ascii="Monotype Corsiva" w:hAnsi="Monotype Corsiva" w:cs="Arial"/>
        <w:bCs/>
        <w:i/>
        <w:iCs/>
      </w:rPr>
      <w:t>“2021, 375 años de la fundación de la Biblioteca Palafoxiana”</w:t>
    </w:r>
  </w:p>
  <w:p w14:paraId="2EDF137E" w14:textId="3EFB9CD8" w:rsidR="00E93410" w:rsidRDefault="00E93410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3F22D0DB" w14:textId="23EF5340" w:rsidR="007A1DCA" w:rsidRDefault="007A1DCA" w:rsidP="00E93410">
    <w:pPr>
      <w:tabs>
        <w:tab w:val="center" w:pos="4252"/>
        <w:tab w:val="right" w:pos="8504"/>
      </w:tabs>
      <w:jc w:val="right"/>
      <w:rPr>
        <w:rFonts w:ascii="Monotype Corsiva" w:hAnsi="Monotype Corsiva" w:cs="Arial"/>
        <w:bCs/>
        <w:i/>
        <w:iCs/>
      </w:rPr>
    </w:pPr>
  </w:p>
  <w:p w14:paraId="2B552276" w14:textId="70B9BD8D" w:rsidR="004A5079" w:rsidRDefault="0080630E">
    <w:pPr>
      <w:pStyle w:val="Encabezado"/>
    </w:pPr>
    <w:r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80630E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9"/>
    <w:rsid w:val="000F0089"/>
    <w:rsid w:val="004A5079"/>
    <w:rsid w:val="00583984"/>
    <w:rsid w:val="006B2F5C"/>
    <w:rsid w:val="007A1DCA"/>
    <w:rsid w:val="0080630E"/>
    <w:rsid w:val="00B41FC2"/>
    <w:rsid w:val="00E27D65"/>
    <w:rsid w:val="00E93410"/>
    <w:rsid w:val="00EA6984"/>
    <w:rsid w:val="00F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Luis Alejandro González Macal</cp:lastModifiedBy>
  <cp:revision>5</cp:revision>
  <dcterms:created xsi:type="dcterms:W3CDTF">2021-11-03T17:12:00Z</dcterms:created>
  <dcterms:modified xsi:type="dcterms:W3CDTF">2021-11-22T21:01:00Z</dcterms:modified>
</cp:coreProperties>
</file>