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C1AC" w14:textId="77777777" w:rsidR="004F26F0" w:rsidRDefault="004F26F0" w:rsidP="0001551B">
      <w:pPr>
        <w:pStyle w:val="Sinespaciado"/>
        <w:rPr>
          <w:rFonts w:ascii="Century Gothic" w:hAnsi="Century Gothic"/>
          <w:b/>
        </w:rPr>
      </w:pPr>
    </w:p>
    <w:p w14:paraId="619DBC92" w14:textId="77777777" w:rsidR="00682460" w:rsidRPr="0001551B" w:rsidRDefault="00FB291D" w:rsidP="0001551B">
      <w:pPr>
        <w:pStyle w:val="Sinespaciado"/>
        <w:rPr>
          <w:rFonts w:ascii="Century Gothic" w:hAnsi="Century Gothic"/>
          <w:b/>
        </w:rPr>
      </w:pPr>
      <w:r w:rsidRPr="0001551B">
        <w:rPr>
          <w:rFonts w:ascii="Century Gothic" w:hAnsi="Century Gothic"/>
          <w:b/>
        </w:rPr>
        <w:t xml:space="preserve">CC. </w:t>
      </w:r>
      <w:proofErr w:type="gramStart"/>
      <w:r w:rsidR="00682460" w:rsidRPr="0001551B">
        <w:rPr>
          <w:rFonts w:ascii="Century Gothic" w:hAnsi="Century Gothic"/>
          <w:b/>
        </w:rPr>
        <w:t xml:space="preserve">DIPUTADAS Y </w:t>
      </w:r>
      <w:r w:rsidRPr="0001551B">
        <w:rPr>
          <w:rFonts w:ascii="Century Gothic" w:hAnsi="Century Gothic"/>
          <w:b/>
        </w:rPr>
        <w:t>DIPUTAD</w:t>
      </w:r>
      <w:r w:rsidR="004F4E7B" w:rsidRPr="0001551B">
        <w:rPr>
          <w:rFonts w:ascii="Century Gothic" w:hAnsi="Century Gothic"/>
          <w:b/>
        </w:rPr>
        <w:t>O</w:t>
      </w:r>
      <w:r w:rsidRPr="0001551B">
        <w:rPr>
          <w:rFonts w:ascii="Century Gothic" w:hAnsi="Century Gothic"/>
          <w:b/>
        </w:rPr>
        <w:t>S</w:t>
      </w:r>
      <w:proofErr w:type="gramEnd"/>
      <w:r w:rsidRPr="0001551B">
        <w:rPr>
          <w:rFonts w:ascii="Century Gothic" w:hAnsi="Century Gothic"/>
          <w:b/>
        </w:rPr>
        <w:t xml:space="preserve"> INTEGRANTES DE LA </w:t>
      </w:r>
    </w:p>
    <w:p w14:paraId="53796AF3" w14:textId="77777777" w:rsidR="0001551B" w:rsidRPr="0001551B" w:rsidRDefault="0001551B" w:rsidP="0001551B">
      <w:pPr>
        <w:pStyle w:val="Sinespaciado"/>
        <w:rPr>
          <w:rFonts w:ascii="Century Gothic" w:hAnsi="Century Gothic"/>
          <w:b/>
        </w:rPr>
      </w:pPr>
      <w:r w:rsidRPr="0001551B">
        <w:rPr>
          <w:rFonts w:ascii="Century Gothic" w:hAnsi="Century Gothic"/>
          <w:b/>
        </w:rPr>
        <w:t>MESA DIRECTIVA</w:t>
      </w:r>
      <w:r w:rsidR="004F4E7B" w:rsidRPr="0001551B">
        <w:rPr>
          <w:rFonts w:ascii="Century Gothic" w:hAnsi="Century Gothic"/>
          <w:b/>
        </w:rPr>
        <w:t xml:space="preserve"> </w:t>
      </w:r>
      <w:r w:rsidR="00FB291D" w:rsidRPr="0001551B">
        <w:rPr>
          <w:rFonts w:ascii="Century Gothic" w:hAnsi="Century Gothic"/>
          <w:b/>
        </w:rPr>
        <w:t xml:space="preserve">DE LA LXI LEGISLATURA DEL HONORABLE </w:t>
      </w:r>
    </w:p>
    <w:p w14:paraId="06CDDA02" w14:textId="429E719D" w:rsidR="004F4E7B" w:rsidRPr="0001551B" w:rsidRDefault="00FB291D" w:rsidP="0001551B">
      <w:pPr>
        <w:pStyle w:val="Sinespaciado"/>
        <w:rPr>
          <w:rFonts w:ascii="Century Gothic" w:hAnsi="Century Gothic"/>
          <w:b/>
        </w:rPr>
      </w:pPr>
      <w:r w:rsidRPr="0001551B">
        <w:rPr>
          <w:rFonts w:ascii="Century Gothic" w:hAnsi="Century Gothic"/>
          <w:b/>
        </w:rPr>
        <w:t>CONGRESO DEL ESTADO LIBRE Y SOBERANO DE PUEBLA</w:t>
      </w:r>
      <w:r w:rsidR="004F4E7B" w:rsidRPr="0001551B">
        <w:rPr>
          <w:rFonts w:ascii="Century Gothic" w:hAnsi="Century Gothic"/>
          <w:b/>
        </w:rPr>
        <w:t xml:space="preserve"> </w:t>
      </w:r>
    </w:p>
    <w:p w14:paraId="7B2F2A32" w14:textId="77777777" w:rsidR="0001551B" w:rsidRPr="0001551B" w:rsidRDefault="0001551B" w:rsidP="0001551B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6C8A1CDF" w14:textId="77777777" w:rsidR="003F5400" w:rsidRDefault="003F5400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</w:p>
    <w:p w14:paraId="1CE6A1DC" w14:textId="41A4FA07" w:rsidR="00C62CE3" w:rsidRPr="0001551B" w:rsidRDefault="00A02A58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 w:rsidRPr="0001551B">
        <w:rPr>
          <w:rFonts w:ascii="Century Gothic" w:hAnsi="Century Gothic" w:cs="Tahoma"/>
          <w:sz w:val="22"/>
          <w:szCs w:val="22"/>
          <w:lang w:eastAsia="es-ES"/>
        </w:rPr>
        <w:t>La que suscribe Norma Sirley Reyes Cabrera, Diputada</w:t>
      </w:r>
      <w:r w:rsidR="00B01675" w:rsidRPr="0001551B">
        <w:rPr>
          <w:rFonts w:ascii="Century Gothic" w:hAnsi="Century Gothic" w:cs="Tahoma"/>
          <w:sz w:val="22"/>
          <w:szCs w:val="22"/>
          <w:lang w:eastAsia="es-ES"/>
        </w:rPr>
        <w:t xml:space="preserve"> integrante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 xml:space="preserve"> del Grupo Legislativo del Partido Revolucionario Institucional de la LXI Legislatura del Honorable Congreso del Estado Libre y Soberano de Puebla, de conformidad con lo dispuesto por los artículos </w:t>
      </w:r>
      <w:r w:rsidR="00247DFB" w:rsidRPr="0001551B">
        <w:rPr>
          <w:rFonts w:ascii="Century Gothic" w:hAnsi="Century Gothic" w:cs="Tahoma"/>
          <w:sz w:val="22"/>
          <w:szCs w:val="22"/>
          <w:lang w:eastAsia="es-ES"/>
        </w:rPr>
        <w:t>59</w:t>
      </w:r>
      <w:r w:rsidR="00D9042A" w:rsidRPr="0001551B">
        <w:rPr>
          <w:rFonts w:ascii="Century Gothic" w:hAnsi="Century Gothic" w:cs="Tahoma"/>
          <w:sz w:val="22"/>
          <w:szCs w:val="22"/>
          <w:lang w:eastAsia="es-ES"/>
        </w:rPr>
        <w:t>,</w:t>
      </w:r>
      <w:r w:rsidR="00247DFB" w:rsidRPr="0001551B">
        <w:rPr>
          <w:rFonts w:ascii="Century Gothic" w:hAnsi="Century Gothic" w:cs="Tahoma"/>
          <w:sz w:val="22"/>
          <w:szCs w:val="22"/>
          <w:lang w:eastAsia="es-ES"/>
        </w:rPr>
        <w:t xml:space="preserve"> 63 fracción II</w:t>
      </w:r>
      <w:r w:rsidR="00471D6E" w:rsidRPr="0001551B">
        <w:rPr>
          <w:rFonts w:ascii="Century Gothic" w:hAnsi="Century Gothic" w:cs="Tahoma"/>
          <w:sz w:val="22"/>
          <w:szCs w:val="22"/>
          <w:lang w:eastAsia="es-ES"/>
        </w:rPr>
        <w:t xml:space="preserve">, </w:t>
      </w:r>
      <w:r w:rsidR="009E635C" w:rsidRPr="0001551B">
        <w:rPr>
          <w:rFonts w:ascii="Century Gothic" w:hAnsi="Century Gothic" w:cs="Tahoma"/>
          <w:sz w:val="22"/>
          <w:szCs w:val="22"/>
          <w:lang w:eastAsia="es-ES"/>
        </w:rPr>
        <w:t xml:space="preserve">y </w:t>
      </w:r>
      <w:r w:rsidR="00471D6E" w:rsidRPr="0001551B">
        <w:rPr>
          <w:rFonts w:ascii="Century Gothic" w:hAnsi="Century Gothic" w:cs="Tahoma"/>
          <w:sz w:val="22"/>
          <w:szCs w:val="22"/>
          <w:lang w:eastAsia="es-ES"/>
        </w:rPr>
        <w:t xml:space="preserve">64 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>de la Constitución Política del Estado Libre y Soberano de Puebla; 2 fracción XX</w:t>
      </w:r>
      <w:r w:rsidR="00471D6E" w:rsidRPr="0001551B">
        <w:rPr>
          <w:rFonts w:ascii="Century Gothic" w:hAnsi="Century Gothic" w:cs="Tahoma"/>
          <w:sz w:val="22"/>
          <w:szCs w:val="22"/>
          <w:lang w:eastAsia="es-ES"/>
        </w:rPr>
        <w:t>I</w:t>
      </w:r>
      <w:r w:rsidR="00BA565B" w:rsidRPr="0001551B">
        <w:rPr>
          <w:rFonts w:ascii="Century Gothic" w:hAnsi="Century Gothic" w:cs="Tahoma"/>
          <w:sz w:val="22"/>
          <w:szCs w:val="22"/>
          <w:lang w:eastAsia="es-ES"/>
        </w:rPr>
        <w:t>; 44 fracción II,</w:t>
      </w:r>
      <w:r w:rsidR="00F814C2" w:rsidRPr="0001551B">
        <w:rPr>
          <w:rFonts w:ascii="Century Gothic" w:hAnsi="Century Gothic" w:cs="Tahoma"/>
          <w:sz w:val="22"/>
          <w:szCs w:val="22"/>
          <w:lang w:eastAsia="es-ES"/>
        </w:rPr>
        <w:t xml:space="preserve"> </w:t>
      </w:r>
      <w:r w:rsidR="009870D5">
        <w:rPr>
          <w:rFonts w:ascii="Century Gothic" w:hAnsi="Century Gothic" w:cs="Tahoma"/>
          <w:sz w:val="22"/>
          <w:szCs w:val="22"/>
          <w:lang w:eastAsia="es-ES"/>
        </w:rPr>
        <w:t>136</w:t>
      </w:r>
      <w:r w:rsidR="00BA565B" w:rsidRPr="0001551B">
        <w:rPr>
          <w:rFonts w:ascii="Century Gothic" w:hAnsi="Century Gothic" w:cs="Tahoma"/>
          <w:sz w:val="22"/>
          <w:szCs w:val="22"/>
          <w:lang w:eastAsia="es-ES"/>
        </w:rPr>
        <w:t xml:space="preserve">, </w:t>
      </w:r>
      <w:r w:rsidR="00F814C2" w:rsidRPr="0001551B">
        <w:rPr>
          <w:rFonts w:ascii="Century Gothic" w:hAnsi="Century Gothic" w:cs="Tahoma"/>
          <w:sz w:val="22"/>
          <w:szCs w:val="22"/>
          <w:lang w:eastAsia="es-ES"/>
        </w:rPr>
        <w:t>144 fracción II, 145, 146, 147</w:t>
      </w:r>
      <w:r w:rsidR="009870D5">
        <w:rPr>
          <w:rFonts w:ascii="Century Gothic" w:hAnsi="Century Gothic" w:cs="Tahoma"/>
          <w:sz w:val="22"/>
          <w:szCs w:val="22"/>
          <w:lang w:eastAsia="es-ES"/>
        </w:rPr>
        <w:t xml:space="preserve"> y</w:t>
      </w:r>
      <w:r w:rsidR="0054352A">
        <w:rPr>
          <w:rFonts w:ascii="Century Gothic" w:hAnsi="Century Gothic" w:cs="Tahoma"/>
          <w:sz w:val="22"/>
          <w:szCs w:val="22"/>
          <w:lang w:eastAsia="es-ES"/>
        </w:rPr>
        <w:t xml:space="preserve"> 148</w:t>
      </w:r>
      <w:r w:rsidR="00F814C2" w:rsidRPr="0001551B">
        <w:rPr>
          <w:rFonts w:ascii="Century Gothic" w:hAnsi="Century Gothic" w:cs="Tahoma"/>
          <w:sz w:val="22"/>
          <w:szCs w:val="22"/>
          <w:lang w:eastAsia="es-ES"/>
        </w:rPr>
        <w:t xml:space="preserve"> 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>de la Le</w:t>
      </w:r>
      <w:r w:rsidR="004F26F0">
        <w:rPr>
          <w:rFonts w:ascii="Century Gothic" w:hAnsi="Century Gothic" w:cs="Tahoma"/>
          <w:sz w:val="22"/>
          <w:szCs w:val="22"/>
          <w:lang w:eastAsia="es-ES"/>
        </w:rPr>
        <w:t>y Orgánica del Poder Legislativo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>; 120 fracción VI</w:t>
      </w:r>
      <w:r w:rsidR="009E635C" w:rsidRPr="0001551B">
        <w:rPr>
          <w:rFonts w:ascii="Century Gothic" w:hAnsi="Century Gothic" w:cs="Tahoma"/>
          <w:sz w:val="22"/>
          <w:szCs w:val="22"/>
          <w:lang w:eastAsia="es-ES"/>
        </w:rPr>
        <w:t xml:space="preserve"> y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 xml:space="preserve"> 146 del Reglamento Interior del Honorable Congreso</w:t>
      </w:r>
      <w:r w:rsidR="004F26F0">
        <w:rPr>
          <w:rFonts w:ascii="Century Gothic" w:hAnsi="Century Gothic" w:cs="Tahoma"/>
          <w:sz w:val="22"/>
          <w:szCs w:val="22"/>
          <w:lang w:eastAsia="es-ES"/>
        </w:rPr>
        <w:t>, amabas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 xml:space="preserve"> del Estado Libre y Soberano de Puebla, somet</w:t>
      </w:r>
      <w:r w:rsidR="00B01675" w:rsidRPr="0001551B">
        <w:rPr>
          <w:rFonts w:ascii="Century Gothic" w:hAnsi="Century Gothic" w:cs="Tahoma"/>
          <w:sz w:val="22"/>
          <w:szCs w:val="22"/>
          <w:lang w:eastAsia="es-ES"/>
        </w:rPr>
        <w:t>o</w:t>
      </w:r>
      <w:r w:rsidRPr="0001551B">
        <w:rPr>
          <w:rFonts w:ascii="Century Gothic" w:hAnsi="Century Gothic" w:cs="Tahoma"/>
          <w:sz w:val="22"/>
          <w:szCs w:val="22"/>
          <w:lang w:eastAsia="es-ES"/>
        </w:rPr>
        <w:t xml:space="preserve"> a consideración de este Honorable Cuerpo Colegiado el siguien</w:t>
      </w:r>
      <w:r w:rsidR="00E53EC6" w:rsidRPr="0001551B">
        <w:rPr>
          <w:rFonts w:ascii="Century Gothic" w:hAnsi="Century Gothic" w:cs="Tahoma"/>
          <w:sz w:val="22"/>
          <w:szCs w:val="22"/>
          <w:lang w:eastAsia="es-ES"/>
        </w:rPr>
        <w:t xml:space="preserve">te </w:t>
      </w:r>
      <w:r w:rsidR="00E53EC6" w:rsidRPr="0001551B">
        <w:rPr>
          <w:rFonts w:ascii="Century Gothic" w:hAnsi="Century Gothic" w:cs="Tahoma"/>
          <w:b/>
          <w:bCs/>
          <w:sz w:val="22"/>
          <w:szCs w:val="22"/>
          <w:lang w:eastAsia="es-ES"/>
        </w:rPr>
        <w:t>PUNTO DE ACUERDO</w:t>
      </w:r>
      <w:r w:rsidR="00E53EC6" w:rsidRPr="0001551B">
        <w:rPr>
          <w:rFonts w:ascii="Century Gothic" w:hAnsi="Century Gothic" w:cs="Tahoma"/>
          <w:sz w:val="22"/>
          <w:szCs w:val="22"/>
          <w:lang w:eastAsia="es-ES"/>
        </w:rPr>
        <w:t>, al tenor de</w:t>
      </w:r>
      <w:r w:rsidR="00152324" w:rsidRPr="0001551B">
        <w:rPr>
          <w:rFonts w:ascii="Century Gothic" w:hAnsi="Century Gothic" w:cs="Tahoma"/>
          <w:sz w:val="22"/>
          <w:szCs w:val="22"/>
          <w:lang w:eastAsia="es-ES"/>
        </w:rPr>
        <w:t xml:space="preserve"> </w:t>
      </w:r>
      <w:r w:rsidR="00E53EC6" w:rsidRPr="0001551B">
        <w:rPr>
          <w:rFonts w:ascii="Century Gothic" w:hAnsi="Century Gothic" w:cs="Tahoma"/>
          <w:sz w:val="22"/>
          <w:szCs w:val="22"/>
          <w:lang w:eastAsia="es-ES"/>
        </w:rPr>
        <w:t>l</w:t>
      </w:r>
      <w:r w:rsidR="00152324" w:rsidRPr="0001551B">
        <w:rPr>
          <w:rFonts w:ascii="Century Gothic" w:hAnsi="Century Gothic" w:cs="Tahoma"/>
          <w:sz w:val="22"/>
          <w:szCs w:val="22"/>
          <w:lang w:eastAsia="es-ES"/>
        </w:rPr>
        <w:t>a</w:t>
      </w:r>
      <w:r w:rsidR="00E53EC6" w:rsidRPr="0001551B">
        <w:rPr>
          <w:rFonts w:ascii="Century Gothic" w:hAnsi="Century Gothic" w:cs="Tahoma"/>
          <w:sz w:val="22"/>
          <w:szCs w:val="22"/>
          <w:lang w:eastAsia="es-ES"/>
        </w:rPr>
        <w:t xml:space="preserve"> siguiente: </w:t>
      </w:r>
    </w:p>
    <w:p w14:paraId="3BE02F2F" w14:textId="77777777" w:rsidR="00581460" w:rsidRPr="0001551B" w:rsidRDefault="00581460" w:rsidP="0001551B">
      <w:pPr>
        <w:spacing w:line="360" w:lineRule="auto"/>
        <w:rPr>
          <w:rFonts w:ascii="Century Gothic" w:hAnsi="Century Gothic" w:cs="Tahoma"/>
          <w:b/>
          <w:spacing w:val="60"/>
          <w:sz w:val="22"/>
          <w:szCs w:val="22"/>
        </w:rPr>
      </w:pPr>
    </w:p>
    <w:p w14:paraId="53125F1B" w14:textId="72B7F30F" w:rsidR="00152324" w:rsidRPr="0054352A" w:rsidRDefault="00152324" w:rsidP="0001551B">
      <w:pPr>
        <w:spacing w:line="360" w:lineRule="auto"/>
        <w:jc w:val="center"/>
        <w:rPr>
          <w:rFonts w:ascii="Century Gothic" w:eastAsia="Calibri" w:hAnsi="Century Gothic" w:cs="Arial"/>
          <w:b/>
          <w:color w:val="000000" w:themeColor="text1"/>
          <w:spacing w:val="60"/>
          <w:sz w:val="22"/>
          <w:szCs w:val="22"/>
          <w:lang w:eastAsia="en-US"/>
        </w:rPr>
      </w:pPr>
      <w:r w:rsidRPr="0054352A">
        <w:rPr>
          <w:rFonts w:ascii="Century Gothic" w:eastAsia="Calibri" w:hAnsi="Century Gothic" w:cs="Arial"/>
          <w:b/>
          <w:color w:val="000000" w:themeColor="text1"/>
          <w:spacing w:val="60"/>
          <w:sz w:val="22"/>
          <w:szCs w:val="22"/>
          <w:lang w:eastAsia="en-US"/>
        </w:rPr>
        <w:t>EXPOSICIÓN DE MOTIVOS</w:t>
      </w:r>
    </w:p>
    <w:p w14:paraId="15F46A1B" w14:textId="77777777" w:rsidR="00AB650D" w:rsidRPr="0001551B" w:rsidRDefault="00AB650D" w:rsidP="0001551B">
      <w:pPr>
        <w:spacing w:line="360" w:lineRule="auto"/>
        <w:jc w:val="center"/>
        <w:rPr>
          <w:rFonts w:ascii="Century Gothic" w:eastAsia="Calibri" w:hAnsi="Century Gothic" w:cs="Arial"/>
          <w:b/>
          <w:color w:val="000000" w:themeColor="text1"/>
          <w:sz w:val="22"/>
          <w:szCs w:val="22"/>
          <w:lang w:eastAsia="en-US"/>
        </w:rPr>
      </w:pPr>
    </w:p>
    <w:p w14:paraId="342F43E7" w14:textId="1F9A94CE" w:rsidR="009E635C" w:rsidRDefault="00EA2AD9" w:rsidP="00EA2AD9">
      <w:pPr>
        <w:spacing w:line="360" w:lineRule="auto"/>
        <w:jc w:val="both"/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  <w:t xml:space="preserve">Que el </w:t>
      </w:r>
      <w:bookmarkStart w:id="0" w:name="_Hlk105364186"/>
      <w:r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  <w:t xml:space="preserve">Servicio Meteorológico Nacional </w:t>
      </w:r>
      <w:bookmarkEnd w:id="0"/>
      <w:r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  <w:t>(SMN) es el organismo encargado de proporcionar información sobre el estado del tiempo a escala nacional y local en nuestro país. El servicio Meteorológico Nacional, depende de la Comisión Nacional del Agua (CONAGUA), la cual forma parte de la Secretaría de Medio Ambiente y Recursos Naturales (SEMARNAT).</w:t>
      </w:r>
    </w:p>
    <w:p w14:paraId="084B6AFF" w14:textId="77777777" w:rsidR="00EA2AD9" w:rsidRPr="00EA2AD9" w:rsidRDefault="00EA2AD9" w:rsidP="00EA2AD9">
      <w:pPr>
        <w:spacing w:line="360" w:lineRule="auto"/>
        <w:jc w:val="both"/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</w:pPr>
    </w:p>
    <w:p w14:paraId="32B7028E" w14:textId="56D9788E" w:rsidR="00197571" w:rsidRDefault="00160902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>
        <w:rPr>
          <w:rFonts w:ascii="Century Gothic" w:hAnsi="Century Gothic" w:cs="Tahoma"/>
          <w:sz w:val="22"/>
          <w:szCs w:val="22"/>
          <w:lang w:eastAsia="es-ES"/>
        </w:rPr>
        <w:t>Que entre l</w:t>
      </w:r>
      <w:r w:rsidR="004A4CF7">
        <w:rPr>
          <w:rFonts w:ascii="Century Gothic" w:hAnsi="Century Gothic" w:cs="Tahoma"/>
          <w:sz w:val="22"/>
          <w:szCs w:val="22"/>
          <w:lang w:eastAsia="es-ES"/>
        </w:rPr>
        <w:t xml:space="preserve">os objetivos del SMN se encuentran la vigilancia continua de la atmósfera para identificar los fenómenos meteorológicos que pueden afectar las distintas actividades económicas y sobre todo </w:t>
      </w:r>
      <w:r w:rsidR="004A4CF7" w:rsidRPr="00ED4E12">
        <w:rPr>
          <w:rFonts w:ascii="Century Gothic" w:hAnsi="Century Gothic" w:cs="Tahoma"/>
          <w:sz w:val="22"/>
          <w:szCs w:val="22"/>
          <w:lang w:eastAsia="es-ES"/>
        </w:rPr>
        <w:t>originar</w:t>
      </w:r>
      <w:r w:rsidR="004A4CF7">
        <w:rPr>
          <w:rFonts w:ascii="Century Gothic" w:hAnsi="Century Gothic" w:cs="Tahoma"/>
          <w:sz w:val="22"/>
          <w:szCs w:val="22"/>
          <w:lang w:eastAsia="es-ES"/>
        </w:rPr>
        <w:t xml:space="preserve"> la pérdida de vidas humanas. El SMN también realiza el acopio de la información climatológica nacional</w:t>
      </w:r>
      <w:r w:rsidR="00ED4E12">
        <w:rPr>
          <w:rStyle w:val="Refdenotaalpie"/>
          <w:rFonts w:ascii="Century Gothic" w:hAnsi="Century Gothic" w:cs="Tahoma"/>
          <w:sz w:val="22"/>
          <w:szCs w:val="22"/>
          <w:lang w:eastAsia="es-ES"/>
        </w:rPr>
        <w:footnoteReference w:id="1"/>
      </w:r>
      <w:r w:rsidR="004A4CF7">
        <w:rPr>
          <w:rFonts w:ascii="Century Gothic" w:hAnsi="Century Gothic" w:cs="Tahoma"/>
          <w:sz w:val="22"/>
          <w:szCs w:val="22"/>
          <w:lang w:eastAsia="es-ES"/>
        </w:rPr>
        <w:t>.</w:t>
      </w:r>
    </w:p>
    <w:p w14:paraId="77EE3590" w14:textId="0889D944" w:rsidR="004A4CF7" w:rsidRDefault="004A4CF7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</w:p>
    <w:p w14:paraId="2B60B43C" w14:textId="67F56A33" w:rsidR="004A4CF7" w:rsidRDefault="004A4CF7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>
        <w:rPr>
          <w:rFonts w:ascii="Century Gothic" w:hAnsi="Century Gothic" w:cs="Tahoma"/>
          <w:sz w:val="22"/>
          <w:szCs w:val="22"/>
          <w:lang w:eastAsia="es-ES"/>
        </w:rPr>
        <w:t>Que entre sus funciones principales se enc</w:t>
      </w:r>
      <w:r w:rsidR="00ED4E12">
        <w:rPr>
          <w:rFonts w:ascii="Century Gothic" w:hAnsi="Century Gothic" w:cs="Tahoma"/>
          <w:sz w:val="22"/>
          <w:szCs w:val="22"/>
          <w:lang w:eastAsia="es-ES"/>
        </w:rPr>
        <w:t>ue</w:t>
      </w:r>
      <w:r>
        <w:rPr>
          <w:rFonts w:ascii="Century Gothic" w:hAnsi="Century Gothic" w:cs="Tahoma"/>
          <w:sz w:val="22"/>
          <w:szCs w:val="22"/>
          <w:lang w:eastAsia="es-ES"/>
        </w:rPr>
        <w:t>ntran las siguientes:</w:t>
      </w:r>
    </w:p>
    <w:p w14:paraId="73599E63" w14:textId="501E41A3" w:rsidR="004A4CF7" w:rsidRDefault="004A4CF7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</w:p>
    <w:p w14:paraId="33C8E5DA" w14:textId="162EC1C1" w:rsidR="004A4CF7" w:rsidRDefault="00FB17AA" w:rsidP="00FB17AA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lang w:eastAsia="es-ES"/>
        </w:rPr>
      </w:pPr>
      <w:r>
        <w:rPr>
          <w:rFonts w:ascii="Century Gothic" w:hAnsi="Century Gothic" w:cs="Tahoma"/>
          <w:lang w:eastAsia="es-ES"/>
        </w:rPr>
        <w:lastRenderedPageBreak/>
        <w:t>Mantener in</w:t>
      </w:r>
      <w:r w:rsidR="0054352A">
        <w:rPr>
          <w:rFonts w:ascii="Century Gothic" w:hAnsi="Century Gothic" w:cs="Tahoma"/>
          <w:lang w:eastAsia="es-ES"/>
        </w:rPr>
        <w:t>formado al Sistema Nacional de P</w:t>
      </w:r>
      <w:r>
        <w:rPr>
          <w:rFonts w:ascii="Century Gothic" w:hAnsi="Century Gothic" w:cs="Tahoma"/>
          <w:lang w:eastAsia="es-ES"/>
        </w:rPr>
        <w:t>r</w:t>
      </w:r>
      <w:r w:rsidR="0054352A">
        <w:rPr>
          <w:rFonts w:ascii="Century Gothic" w:hAnsi="Century Gothic" w:cs="Tahoma"/>
          <w:lang w:eastAsia="es-ES"/>
        </w:rPr>
        <w:t>otección C</w:t>
      </w:r>
      <w:r w:rsidR="00B67172">
        <w:rPr>
          <w:rFonts w:ascii="Century Gothic" w:hAnsi="Century Gothic" w:cs="Tahoma"/>
          <w:lang w:eastAsia="es-ES"/>
        </w:rPr>
        <w:t>ivil</w:t>
      </w:r>
      <w:r w:rsidR="0054352A">
        <w:rPr>
          <w:rFonts w:ascii="Century Gothic" w:hAnsi="Century Gothic" w:cs="Tahoma"/>
          <w:lang w:eastAsia="es-ES"/>
        </w:rPr>
        <w:t xml:space="preserve"> (SINAPROC)</w:t>
      </w:r>
      <w:r w:rsidR="00B67172">
        <w:rPr>
          <w:rFonts w:ascii="Century Gothic" w:hAnsi="Century Gothic" w:cs="Tahoma"/>
          <w:lang w:eastAsia="es-ES"/>
        </w:rPr>
        <w:t>, de las condiciones meteorológicas que puedan afectar a la población y a sus actividades económicas.</w:t>
      </w:r>
    </w:p>
    <w:p w14:paraId="24EF6204" w14:textId="3F7574FF" w:rsidR="00B67172" w:rsidRDefault="00B67172" w:rsidP="00FB17AA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lang w:eastAsia="es-ES"/>
        </w:rPr>
      </w:pPr>
      <w:r>
        <w:rPr>
          <w:rFonts w:ascii="Century Gothic" w:hAnsi="Century Gothic" w:cs="Tahoma"/>
          <w:lang w:eastAsia="es-ES"/>
        </w:rPr>
        <w:t>Difundir al público boletines y avisos de las condiciones del tiempo, especialmente durante la época de ciclones, que abarca de mayo a noviembre.</w:t>
      </w:r>
    </w:p>
    <w:p w14:paraId="1652A525" w14:textId="00A24F18" w:rsidR="0063598A" w:rsidRDefault="00B67172" w:rsidP="0001551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lang w:eastAsia="es-ES"/>
        </w:rPr>
      </w:pPr>
      <w:r>
        <w:rPr>
          <w:rFonts w:ascii="Century Gothic" w:hAnsi="Century Gothic" w:cs="Tahoma"/>
          <w:lang w:eastAsia="es-ES"/>
        </w:rPr>
        <w:t>Proporcionar al público información meteorológica y climatológica; entre otras</w:t>
      </w:r>
      <w:r>
        <w:rPr>
          <w:rStyle w:val="Refdenotaalpie"/>
          <w:rFonts w:ascii="Century Gothic" w:hAnsi="Century Gothic" w:cs="Tahoma"/>
          <w:lang w:eastAsia="es-ES"/>
        </w:rPr>
        <w:footnoteReference w:id="2"/>
      </w:r>
      <w:r>
        <w:rPr>
          <w:rFonts w:ascii="Century Gothic" w:hAnsi="Century Gothic" w:cs="Tahoma"/>
          <w:lang w:eastAsia="es-ES"/>
        </w:rPr>
        <w:t>.</w:t>
      </w:r>
    </w:p>
    <w:p w14:paraId="6DC0F959" w14:textId="77777777" w:rsidR="0063598A" w:rsidRPr="0063598A" w:rsidRDefault="0063598A" w:rsidP="0063598A">
      <w:pPr>
        <w:pStyle w:val="Prrafodelista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lang w:eastAsia="es-ES"/>
        </w:rPr>
      </w:pPr>
    </w:p>
    <w:p w14:paraId="647EDC56" w14:textId="0AA33F66" w:rsidR="0048449E" w:rsidRDefault="007B1BF6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</w:pPr>
      <w:r>
        <w:rPr>
          <w:rFonts w:ascii="Century Gothic" w:hAnsi="Century Gothic" w:cs="Tahoma"/>
          <w:sz w:val="22"/>
          <w:szCs w:val="22"/>
          <w:lang w:eastAsia="es-ES"/>
        </w:rPr>
        <w:t xml:space="preserve">Que </w:t>
      </w:r>
      <w:r w:rsidR="0048449E">
        <w:rPr>
          <w:rFonts w:ascii="Century Gothic" w:hAnsi="Century Gothic" w:cs="Tahoma"/>
          <w:sz w:val="22"/>
          <w:szCs w:val="22"/>
          <w:lang w:eastAsia="es-ES"/>
        </w:rPr>
        <w:t>de acuerdo con el</w:t>
      </w:r>
      <w:r>
        <w:rPr>
          <w:rFonts w:ascii="Century Gothic" w:hAnsi="Century Gothic" w:cs="Tahoma"/>
          <w:sz w:val="22"/>
          <w:szCs w:val="22"/>
          <w:lang w:eastAsia="es-ES"/>
        </w:rPr>
        <w:t xml:space="preserve"> P</w:t>
      </w:r>
      <w:r w:rsidR="00302A96">
        <w:rPr>
          <w:rFonts w:ascii="Century Gothic" w:hAnsi="Century Gothic" w:cs="Tahoma"/>
          <w:sz w:val="22"/>
          <w:szCs w:val="22"/>
          <w:lang w:eastAsia="es-ES"/>
        </w:rPr>
        <w:t xml:space="preserve">ronóstico Oficial de Ciclones Tropicales y Temporadas de </w:t>
      </w:r>
      <w:r w:rsidR="00D03DA5">
        <w:rPr>
          <w:rFonts w:ascii="Century Gothic" w:hAnsi="Century Gothic" w:cs="Tahoma"/>
          <w:sz w:val="22"/>
          <w:szCs w:val="22"/>
          <w:lang w:eastAsia="es-ES"/>
        </w:rPr>
        <w:t>Lluvias</w:t>
      </w:r>
      <w:r w:rsidR="00302A96">
        <w:rPr>
          <w:rFonts w:ascii="Century Gothic" w:hAnsi="Century Gothic" w:cs="Tahoma"/>
          <w:sz w:val="22"/>
          <w:szCs w:val="22"/>
          <w:lang w:eastAsia="es-ES"/>
        </w:rPr>
        <w:t xml:space="preserve"> 2022 del </w:t>
      </w:r>
      <w:r w:rsidR="00302A96">
        <w:rPr>
          <w:rFonts w:ascii="Century Gothic" w:eastAsia="Calibri" w:hAnsi="Century Gothic" w:cs="Arial"/>
          <w:bCs/>
          <w:color w:val="000000" w:themeColor="text1"/>
          <w:sz w:val="22"/>
          <w:szCs w:val="22"/>
          <w:lang w:eastAsia="en-US"/>
        </w:rPr>
        <w:t xml:space="preserve">Servicio Meteorológico Nacional, se declaró oficialmente el inicio de temporada de lluvias asociadas a ciclones tropicales a partir del día quince de mayo. </w:t>
      </w:r>
    </w:p>
    <w:p w14:paraId="3CE472BC" w14:textId="21A15D4A" w:rsidR="004A4CF7" w:rsidRDefault="004A4CF7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</w:p>
    <w:p w14:paraId="0BB92043" w14:textId="29073B10" w:rsidR="0048449E" w:rsidRDefault="0063598A" w:rsidP="0001551B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871390" wp14:editId="3EDA1ABB">
            <wp:simplePos x="0" y="0"/>
            <wp:positionH relativeFrom="margin">
              <wp:align>center</wp:align>
            </wp:positionH>
            <wp:positionV relativeFrom="paragraph">
              <wp:posOffset>653415</wp:posOffset>
            </wp:positionV>
            <wp:extent cx="4945944" cy="3780000"/>
            <wp:effectExtent l="0" t="0" r="7620" b="0"/>
            <wp:wrapTopAndBottom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4" t="21656" r="37539"/>
                    <a:stretch/>
                  </pic:blipFill>
                  <pic:spPr bwMode="auto">
                    <a:xfrm>
                      <a:off x="0" y="0"/>
                      <a:ext cx="4945944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9E">
        <w:rPr>
          <w:rFonts w:ascii="Century Gothic" w:hAnsi="Century Gothic" w:cs="Tahoma"/>
          <w:sz w:val="22"/>
          <w:szCs w:val="22"/>
          <w:lang w:eastAsia="es-ES"/>
        </w:rPr>
        <w:t xml:space="preserve">Que para el mes de junio se espera que las lluvias a nivel nacional tengan un superávit de 18.8 mm o </w:t>
      </w:r>
      <w:r w:rsidR="00F45BE2">
        <w:rPr>
          <w:rFonts w:ascii="Century Gothic" w:hAnsi="Century Gothic" w:cs="Tahoma"/>
          <w:sz w:val="22"/>
          <w:szCs w:val="22"/>
          <w:lang w:eastAsia="es-ES"/>
        </w:rPr>
        <w:t>18.8% por arriba del promedio, como se muestra en la gráfica siguiente:</w:t>
      </w:r>
    </w:p>
    <w:p w14:paraId="41B5D487" w14:textId="2E213D57" w:rsidR="00532ED8" w:rsidRPr="0063598A" w:rsidRDefault="00532ED8" w:rsidP="0063598A">
      <w:pPr>
        <w:spacing w:after="200" w:line="276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lastRenderedPageBreak/>
        <w:t xml:space="preserve">Que de acuerdo con 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los 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>Aviso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>s</w:t>
      </w:r>
      <w:r w:rsidR="004F26F0">
        <w:rPr>
          <w:rFonts w:ascii="Century Gothic" w:eastAsia="Calibri" w:hAnsi="Century Gothic"/>
          <w:sz w:val="22"/>
          <w:szCs w:val="22"/>
          <w:lang w:val="es-ES" w:eastAsia="en-US"/>
        </w:rPr>
        <w:t xml:space="preserve"> No.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>159</w:t>
      </w:r>
      <w:r w:rsidR="004F26F0">
        <w:rPr>
          <w:rFonts w:ascii="Century Gothic" w:eastAsia="Calibri" w:hAnsi="Century Gothic"/>
          <w:sz w:val="22"/>
          <w:szCs w:val="22"/>
          <w:lang w:val="es-ES" w:eastAsia="en-US"/>
        </w:rPr>
        <w:t>, No.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>162</w:t>
      </w:r>
      <w:r w:rsidR="004F26F0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  <w:r w:rsidR="00947431" w:rsidRPr="00947431">
        <w:rPr>
          <w:rFonts w:ascii="Century Gothic" w:eastAsia="Calibri" w:hAnsi="Century Gothic"/>
          <w:sz w:val="22"/>
          <w:szCs w:val="22"/>
          <w:lang w:val="es-ES" w:eastAsia="en-US"/>
        </w:rPr>
        <w:t>No</w:t>
      </w:r>
      <w:r w:rsidR="004F26F0">
        <w:rPr>
          <w:rFonts w:ascii="Century Gothic" w:eastAsia="Calibri" w:hAnsi="Century Gothic"/>
          <w:sz w:val="22"/>
          <w:szCs w:val="22"/>
          <w:lang w:val="es-ES" w:eastAsia="en-US"/>
        </w:rPr>
        <w:t>.</w:t>
      </w:r>
      <w:r w:rsidR="00947431"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164 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>de fecha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>s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 ocho</w:t>
      </w:r>
      <w:r w:rsidR="00947431" w:rsidRPr="00947431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>once</w:t>
      </w:r>
      <w:r w:rsidR="00947431"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 y trece</w:t>
      </w:r>
      <w:r w:rsidR="00F8516F"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de junio de dos mil veintidós </w:t>
      </w:r>
      <w:r w:rsidR="00947431" w:rsidRPr="00947431">
        <w:rPr>
          <w:rFonts w:ascii="Century Gothic" w:eastAsia="Calibri" w:hAnsi="Century Gothic"/>
          <w:sz w:val="22"/>
          <w:szCs w:val="22"/>
          <w:lang w:val="es-ES" w:eastAsia="en-US"/>
        </w:rPr>
        <w:t xml:space="preserve">respectivamente </w:t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>“Pronóstico Extendido a 96 horas</w:t>
      </w:r>
      <w:r w:rsidRPr="00947431">
        <w:rPr>
          <w:rFonts w:ascii="Century Gothic" w:eastAsia="Calibri" w:hAnsi="Century Gothic"/>
          <w:sz w:val="22"/>
          <w:szCs w:val="22"/>
          <w:vertAlign w:val="superscript"/>
          <w:lang w:val="es-ES" w:eastAsia="en-US"/>
        </w:rPr>
        <w:footnoteReference w:id="3"/>
      </w:r>
      <w:r w:rsidRPr="00947431">
        <w:rPr>
          <w:rFonts w:ascii="Century Gothic" w:eastAsia="Calibri" w:hAnsi="Century Gothic"/>
          <w:sz w:val="22"/>
          <w:szCs w:val="22"/>
          <w:lang w:val="es-ES" w:eastAsia="en-US"/>
        </w:rPr>
        <w:t>” del SMN, en el cual se observan fenómenos significativos para el Estado de Puebla siendo los siguientes:</w:t>
      </w:r>
    </w:p>
    <w:tbl>
      <w:tblPr>
        <w:tblStyle w:val="Tablaconcuadrcula"/>
        <w:tblpPr w:leftFromText="141" w:rightFromText="141" w:vertAnchor="text" w:horzAnchor="margin" w:tblpY="111"/>
        <w:tblW w:w="9351" w:type="dxa"/>
        <w:tblLook w:val="04A0" w:firstRow="1" w:lastRow="0" w:firstColumn="1" w:lastColumn="0" w:noHBand="0" w:noVBand="1"/>
      </w:tblPr>
      <w:tblGrid>
        <w:gridCol w:w="718"/>
        <w:gridCol w:w="2538"/>
        <w:gridCol w:w="6095"/>
      </w:tblGrid>
      <w:tr w:rsidR="004F26F0" w:rsidRPr="00532ED8" w14:paraId="217341A8" w14:textId="77777777" w:rsidTr="004F26F0">
        <w:trPr>
          <w:trHeight w:val="416"/>
        </w:trPr>
        <w:tc>
          <w:tcPr>
            <w:tcW w:w="718" w:type="dxa"/>
            <w:shd w:val="clear" w:color="auto" w:fill="00B050"/>
            <w:vAlign w:val="center"/>
          </w:tcPr>
          <w:p w14:paraId="03C0AB06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  <w:t>NUM</w:t>
            </w:r>
          </w:p>
        </w:tc>
        <w:tc>
          <w:tcPr>
            <w:tcW w:w="2538" w:type="dxa"/>
            <w:shd w:val="clear" w:color="auto" w:fill="00B050"/>
            <w:vAlign w:val="center"/>
          </w:tcPr>
          <w:p w14:paraId="116DB80F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  <w:t>DÍA</w:t>
            </w:r>
          </w:p>
        </w:tc>
        <w:tc>
          <w:tcPr>
            <w:tcW w:w="6095" w:type="dxa"/>
            <w:shd w:val="clear" w:color="auto" w:fill="00B050"/>
            <w:vAlign w:val="center"/>
          </w:tcPr>
          <w:p w14:paraId="393AD7BD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color w:val="FFFFFF" w:themeColor="background1"/>
                <w:sz w:val="22"/>
                <w:szCs w:val="22"/>
                <w:lang w:val="es-ES" w:eastAsia="en-US"/>
              </w:rPr>
              <w:t>EFECTOS</w:t>
            </w:r>
          </w:p>
        </w:tc>
      </w:tr>
      <w:tr w:rsidR="004F26F0" w:rsidRPr="00532ED8" w14:paraId="1BEA2B6D" w14:textId="77777777" w:rsidTr="004F26F0">
        <w:tc>
          <w:tcPr>
            <w:tcW w:w="718" w:type="dxa"/>
            <w:vAlign w:val="center"/>
          </w:tcPr>
          <w:p w14:paraId="5DAA9542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1</w:t>
            </w:r>
          </w:p>
        </w:tc>
        <w:tc>
          <w:tcPr>
            <w:tcW w:w="2538" w:type="dxa"/>
            <w:vAlign w:val="center"/>
          </w:tcPr>
          <w:p w14:paraId="742CECE6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Miércoles </w:t>
            </w:r>
          </w:p>
          <w:p w14:paraId="7A893148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8 de junio de 2022</w:t>
            </w:r>
          </w:p>
        </w:tc>
        <w:tc>
          <w:tcPr>
            <w:tcW w:w="6095" w:type="dxa"/>
            <w:vAlign w:val="center"/>
          </w:tcPr>
          <w:p w14:paraId="7C348F90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Lluvias fuertes con puntuales muy fuertes </w:t>
            </w:r>
          </w:p>
          <w:p w14:paraId="0774839F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i/>
                <w:sz w:val="22"/>
                <w:szCs w:val="22"/>
                <w:lang w:val="es-ES"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(50 a 75 mm)</w:t>
            </w:r>
          </w:p>
        </w:tc>
      </w:tr>
      <w:tr w:rsidR="004F26F0" w:rsidRPr="00532ED8" w14:paraId="2D70958A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90C513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2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29E52087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Jueves </w:t>
            </w:r>
          </w:p>
          <w:p w14:paraId="561D9E7B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9 de junio de 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4955A5F1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Intervalos de chubascos con lluvias puntuales fuertes </w:t>
            </w:r>
          </w:p>
          <w:p w14:paraId="75CBFB32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(25 a 50 mm)</w:t>
            </w:r>
          </w:p>
        </w:tc>
      </w:tr>
      <w:tr w:rsidR="004F26F0" w:rsidRPr="00532ED8" w14:paraId="0725E838" w14:textId="77777777" w:rsidTr="004F26F0">
        <w:tc>
          <w:tcPr>
            <w:tcW w:w="718" w:type="dxa"/>
            <w:vAlign w:val="center"/>
          </w:tcPr>
          <w:p w14:paraId="5325AA05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3</w:t>
            </w:r>
          </w:p>
        </w:tc>
        <w:tc>
          <w:tcPr>
            <w:tcW w:w="2538" w:type="dxa"/>
            <w:vAlign w:val="center"/>
          </w:tcPr>
          <w:p w14:paraId="66F86851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V</w:t>
            </w: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iernes </w:t>
            </w:r>
          </w:p>
          <w:p w14:paraId="62C6D7D8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10 de junio de 2022</w:t>
            </w:r>
          </w:p>
        </w:tc>
        <w:tc>
          <w:tcPr>
            <w:tcW w:w="6095" w:type="dxa"/>
            <w:vAlign w:val="center"/>
          </w:tcPr>
          <w:p w14:paraId="0153734E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Intervalos de chubascos con lluvias puntuales fuertes </w:t>
            </w:r>
          </w:p>
          <w:p w14:paraId="797B3825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(25 a 50 mm)</w:t>
            </w:r>
          </w:p>
        </w:tc>
      </w:tr>
      <w:tr w:rsidR="004F26F0" w:rsidRPr="00532ED8" w14:paraId="49AB5C5F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44A6643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4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54201D7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Sábado </w:t>
            </w:r>
          </w:p>
          <w:p w14:paraId="104D655B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11 de junio </w:t>
            </w: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de </w:t>
            </w: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04361C25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Intervalos de chubascos </w:t>
            </w:r>
          </w:p>
          <w:p w14:paraId="2AE260E1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(5 a 25 mm)</w:t>
            </w:r>
          </w:p>
        </w:tc>
      </w:tr>
      <w:tr w:rsidR="004F26F0" w:rsidRPr="00532ED8" w14:paraId="7A135DE0" w14:textId="77777777" w:rsidTr="004F26F0">
        <w:tc>
          <w:tcPr>
            <w:tcW w:w="718" w:type="dxa"/>
            <w:vAlign w:val="center"/>
          </w:tcPr>
          <w:p w14:paraId="4E039109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5</w:t>
            </w:r>
          </w:p>
        </w:tc>
        <w:tc>
          <w:tcPr>
            <w:tcW w:w="2538" w:type="dxa"/>
            <w:vAlign w:val="center"/>
          </w:tcPr>
          <w:p w14:paraId="79DFEF04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Domingo </w:t>
            </w:r>
          </w:p>
          <w:p w14:paraId="1EE16A1C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12 de junio </w:t>
            </w: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de </w:t>
            </w:r>
            <w:r w:rsidRPr="00532ED8"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2022</w:t>
            </w:r>
          </w:p>
        </w:tc>
        <w:tc>
          <w:tcPr>
            <w:tcW w:w="6095" w:type="dxa"/>
            <w:vAlign w:val="center"/>
          </w:tcPr>
          <w:p w14:paraId="48B07F2D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Intervalos de chubascos </w:t>
            </w:r>
          </w:p>
          <w:p w14:paraId="360BB45E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(5 a 25 mm)</w:t>
            </w:r>
          </w:p>
        </w:tc>
      </w:tr>
      <w:tr w:rsidR="004F26F0" w:rsidRPr="00532ED8" w14:paraId="6AE662DC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4055183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6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6B14E13C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Lunes </w:t>
            </w:r>
          </w:p>
          <w:p w14:paraId="1B11A20D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13 de junio de 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0E828BE4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>Lluvias fuertes con puntuales muy fuertes</w:t>
            </w:r>
          </w:p>
          <w:p w14:paraId="413D6206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(50 a 75 mm)</w:t>
            </w:r>
          </w:p>
        </w:tc>
      </w:tr>
      <w:tr w:rsidR="004F26F0" w:rsidRPr="00532ED8" w14:paraId="1E2C48BE" w14:textId="77777777" w:rsidTr="004F26F0">
        <w:tc>
          <w:tcPr>
            <w:tcW w:w="718" w:type="dxa"/>
            <w:vAlign w:val="center"/>
          </w:tcPr>
          <w:p w14:paraId="236B743B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7</w:t>
            </w:r>
          </w:p>
        </w:tc>
        <w:tc>
          <w:tcPr>
            <w:tcW w:w="2538" w:type="dxa"/>
            <w:vAlign w:val="center"/>
          </w:tcPr>
          <w:p w14:paraId="6C56BAE5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Martes </w:t>
            </w:r>
          </w:p>
          <w:p w14:paraId="564CDDA0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14 de junio de 2022</w:t>
            </w:r>
          </w:p>
        </w:tc>
        <w:tc>
          <w:tcPr>
            <w:tcW w:w="6095" w:type="dxa"/>
            <w:vAlign w:val="center"/>
          </w:tcPr>
          <w:p w14:paraId="5DDF1578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Lluvias muy fuertes con puntuales intensas </w:t>
            </w:r>
          </w:p>
          <w:p w14:paraId="52478E56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(75 a 150 mm)</w:t>
            </w:r>
          </w:p>
        </w:tc>
      </w:tr>
      <w:tr w:rsidR="004F26F0" w:rsidRPr="00532ED8" w14:paraId="2E619FFC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EF7026" w14:textId="77777777" w:rsidR="004F26F0" w:rsidRPr="00532ED8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8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33AE3474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Miércoles </w:t>
            </w:r>
          </w:p>
          <w:p w14:paraId="3D1F0707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15 de junio de 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6A5D7CEB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63598A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 xml:space="preserve">Lluvias muy fuertes con puntuales intensas </w:t>
            </w:r>
          </w:p>
          <w:p w14:paraId="1F8E3A5C" w14:textId="77777777" w:rsidR="004F26F0" w:rsidRPr="00941A73" w:rsidRDefault="004F26F0" w:rsidP="004F26F0">
            <w:pPr>
              <w:jc w:val="center"/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</w:pPr>
            <w:r w:rsidRPr="00941A73">
              <w:rPr>
                <w:rFonts w:ascii="Century Gothic" w:eastAsia="Calibri" w:hAnsi="Century Gothic"/>
                <w:bCs/>
                <w:i/>
                <w:sz w:val="22"/>
                <w:szCs w:val="22"/>
                <w:lang w:eastAsia="en-US"/>
              </w:rPr>
              <w:t>(75 a 150 mm)</w:t>
            </w:r>
          </w:p>
        </w:tc>
      </w:tr>
      <w:tr w:rsidR="004F26F0" w:rsidRPr="00532ED8" w14:paraId="624C287E" w14:textId="77777777" w:rsidTr="004F26F0">
        <w:tc>
          <w:tcPr>
            <w:tcW w:w="718" w:type="dxa"/>
            <w:shd w:val="clear" w:color="auto" w:fill="FFFFFF" w:themeFill="background1"/>
            <w:vAlign w:val="center"/>
          </w:tcPr>
          <w:p w14:paraId="724341BD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 xml:space="preserve">9 </w:t>
            </w:r>
          </w:p>
        </w:tc>
        <w:tc>
          <w:tcPr>
            <w:tcW w:w="2538" w:type="dxa"/>
            <w:shd w:val="clear" w:color="auto" w:fill="FFFFFF" w:themeFill="background1"/>
            <w:vAlign w:val="center"/>
          </w:tcPr>
          <w:p w14:paraId="193DDC89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Jueves</w:t>
            </w:r>
          </w:p>
          <w:p w14:paraId="75422465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16 de junio de 2022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057B327A" w14:textId="77777777" w:rsidR="004F26F0" w:rsidRPr="0063598A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947431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>Intervalos de chubascos con lluvias puntuales fuertes</w:t>
            </w:r>
            <w:r w:rsidRPr="004646F1">
              <w:rPr>
                <w:rFonts w:ascii="Century Gothic" w:eastAsia="Calibri" w:hAnsi="Century Gothic"/>
                <w:i/>
                <w:sz w:val="22"/>
                <w:szCs w:val="22"/>
                <w:lang w:eastAsia="en-US"/>
              </w:rPr>
              <w:t xml:space="preserve"> (25 a 50 mm)</w:t>
            </w:r>
          </w:p>
        </w:tc>
      </w:tr>
      <w:tr w:rsidR="004F26F0" w:rsidRPr="00532ED8" w14:paraId="25E25E9A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EBA5021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10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6CA0BA1B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Jueves</w:t>
            </w:r>
          </w:p>
          <w:p w14:paraId="6D109FE2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16 de junio de 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31D28788" w14:textId="77777777" w:rsidR="004F26F0" w:rsidRPr="003F540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iCs/>
                <w:color w:val="FF0000"/>
                <w:sz w:val="22"/>
                <w:szCs w:val="22"/>
                <w:lang w:eastAsia="en-US"/>
              </w:rPr>
            </w:pPr>
            <w:r w:rsidRPr="003F5400">
              <w:rPr>
                <w:rFonts w:ascii="Century Gothic" w:eastAsia="Calibri" w:hAnsi="Century Gothic"/>
                <w:b/>
                <w:bCs/>
                <w:i/>
                <w:iCs/>
                <w:color w:val="FF0000"/>
                <w:sz w:val="22"/>
                <w:szCs w:val="22"/>
                <w:lang w:eastAsia="en-US"/>
              </w:rPr>
              <w:t xml:space="preserve">Viento con rachas de </w:t>
            </w:r>
          </w:p>
          <w:p w14:paraId="74A62B91" w14:textId="77777777" w:rsidR="004F26F0" w:rsidRPr="00947431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947431">
              <w:rPr>
                <w:rFonts w:ascii="Century Gothic" w:eastAsia="Calibri" w:hAnsi="Century Gothic"/>
                <w:i/>
                <w:sz w:val="22"/>
                <w:szCs w:val="22"/>
                <w:lang w:eastAsia="en-US"/>
              </w:rPr>
              <w:t>50 a 60 km/h</w:t>
            </w:r>
          </w:p>
        </w:tc>
      </w:tr>
      <w:tr w:rsidR="004F26F0" w:rsidRPr="00532ED8" w14:paraId="1CD15FEF" w14:textId="77777777" w:rsidTr="004F26F0">
        <w:tc>
          <w:tcPr>
            <w:tcW w:w="718" w:type="dxa"/>
            <w:shd w:val="clear" w:color="auto" w:fill="FFFFFF" w:themeFill="background1"/>
            <w:vAlign w:val="center"/>
          </w:tcPr>
          <w:p w14:paraId="7853F669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 xml:space="preserve">11 </w:t>
            </w:r>
          </w:p>
        </w:tc>
        <w:tc>
          <w:tcPr>
            <w:tcW w:w="2538" w:type="dxa"/>
            <w:shd w:val="clear" w:color="auto" w:fill="FFFFFF" w:themeFill="background1"/>
            <w:vAlign w:val="center"/>
          </w:tcPr>
          <w:p w14:paraId="48210A63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Viernes </w:t>
            </w:r>
          </w:p>
          <w:p w14:paraId="369855B3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17 de junio 2022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14:paraId="0D1C96C9" w14:textId="77777777" w:rsidR="004F26F0" w:rsidRPr="00947431" w:rsidRDefault="004F26F0" w:rsidP="004F26F0">
            <w:pPr>
              <w:jc w:val="center"/>
              <w:rPr>
                <w:rFonts w:ascii="Century Gothic" w:eastAsia="Calibri" w:hAnsi="Century Gothic"/>
                <w:i/>
                <w:sz w:val="22"/>
                <w:szCs w:val="22"/>
                <w:lang w:eastAsia="en-US"/>
              </w:rPr>
            </w:pPr>
            <w:r w:rsidRPr="00947431"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  <w:t>Intervalos de chubascos con lluvias puntuales fuertes (25 a 50 mm)</w:t>
            </w:r>
          </w:p>
        </w:tc>
      </w:tr>
      <w:tr w:rsidR="004F26F0" w:rsidRPr="00532ED8" w14:paraId="1E58B478" w14:textId="77777777" w:rsidTr="004F26F0"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5A0F2B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b/>
                <w:bCs/>
                <w:sz w:val="22"/>
                <w:szCs w:val="22"/>
                <w:lang w:val="es-ES" w:eastAsia="en-US"/>
              </w:rPr>
              <w:t>12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504B911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 xml:space="preserve">Viernes </w:t>
            </w:r>
          </w:p>
          <w:p w14:paraId="613C8FD9" w14:textId="77777777" w:rsidR="004F26F0" w:rsidRDefault="004F26F0" w:rsidP="004F26F0">
            <w:pPr>
              <w:jc w:val="center"/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</w:pPr>
            <w:r>
              <w:rPr>
                <w:rFonts w:ascii="Century Gothic" w:eastAsia="Calibri" w:hAnsi="Century Gothic"/>
                <w:sz w:val="22"/>
                <w:szCs w:val="22"/>
                <w:lang w:val="es-ES" w:eastAsia="en-US"/>
              </w:rPr>
              <w:t>17 de junio 2022</w:t>
            </w:r>
          </w:p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6B676D64" w14:textId="77777777" w:rsidR="004F26F0" w:rsidRPr="003F5400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color w:val="FF0000"/>
                <w:sz w:val="22"/>
                <w:szCs w:val="22"/>
                <w:lang w:eastAsia="en-US"/>
              </w:rPr>
            </w:pPr>
            <w:r w:rsidRPr="003F5400">
              <w:rPr>
                <w:rFonts w:ascii="Century Gothic" w:eastAsia="Calibri" w:hAnsi="Century Gothic"/>
                <w:b/>
                <w:bCs/>
                <w:i/>
                <w:color w:val="FF0000"/>
                <w:sz w:val="22"/>
                <w:szCs w:val="22"/>
                <w:lang w:eastAsia="en-US"/>
              </w:rPr>
              <w:t xml:space="preserve">Viento con rachas de </w:t>
            </w:r>
          </w:p>
          <w:p w14:paraId="79DC954D" w14:textId="77777777" w:rsidR="004F26F0" w:rsidRPr="00947431" w:rsidRDefault="004F26F0" w:rsidP="004F26F0">
            <w:pPr>
              <w:jc w:val="center"/>
              <w:rPr>
                <w:rFonts w:ascii="Century Gothic" w:eastAsia="Calibri" w:hAnsi="Century Gothic"/>
                <w:b/>
                <w:bCs/>
                <w:i/>
                <w:sz w:val="22"/>
                <w:szCs w:val="22"/>
                <w:lang w:eastAsia="en-US"/>
              </w:rPr>
            </w:pPr>
            <w:r w:rsidRPr="00947431">
              <w:rPr>
                <w:rFonts w:ascii="Century Gothic" w:eastAsia="Calibri" w:hAnsi="Century Gothic"/>
                <w:i/>
                <w:sz w:val="22"/>
                <w:szCs w:val="22"/>
                <w:lang w:eastAsia="en-US"/>
              </w:rPr>
              <w:t>50 a 60 km/h</w:t>
            </w:r>
          </w:p>
        </w:tc>
      </w:tr>
    </w:tbl>
    <w:p w14:paraId="09396A17" w14:textId="77777777" w:rsidR="00532ED8" w:rsidRPr="00532ED8" w:rsidRDefault="00532ED8" w:rsidP="003F5400">
      <w:pPr>
        <w:pStyle w:val="Sinespaciado"/>
        <w:rPr>
          <w:lang w:val="es-ES"/>
        </w:rPr>
      </w:pPr>
    </w:p>
    <w:p w14:paraId="796B2CA2" w14:textId="77777777" w:rsidR="00532ED8" w:rsidRPr="00532ED8" w:rsidRDefault="00532ED8" w:rsidP="003F5400">
      <w:pPr>
        <w:pStyle w:val="Sinespaciado"/>
        <w:rPr>
          <w:lang w:val="es-ES"/>
        </w:rPr>
      </w:pPr>
    </w:p>
    <w:p w14:paraId="1F9C49BA" w14:textId="39864137" w:rsidR="00532ED8" w:rsidRPr="00532ED8" w:rsidRDefault="00532ED8" w:rsidP="00532ED8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Como se puede apreciar en la tabla </w:t>
      </w:r>
      <w:r w:rsidR="002112EA">
        <w:rPr>
          <w:rFonts w:ascii="Century Gothic" w:eastAsia="Calibri" w:hAnsi="Century Gothic"/>
          <w:sz w:val="22"/>
          <w:szCs w:val="22"/>
          <w:lang w:val="es-ES" w:eastAsia="en-US"/>
        </w:rPr>
        <w:t>anterior</w:t>
      </w:r>
      <w:r w:rsidR="00596670">
        <w:rPr>
          <w:rFonts w:ascii="Century Gothic" w:eastAsia="Calibri" w:hAnsi="Century Gothic"/>
          <w:sz w:val="22"/>
          <w:szCs w:val="22"/>
          <w:lang w:val="es-ES" w:eastAsia="en-US"/>
        </w:rPr>
        <w:t xml:space="preserve"> se esperan 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>las lluvias fuertes</w:t>
      </w:r>
      <w:r w:rsidR="00596670">
        <w:rPr>
          <w:rFonts w:ascii="Century Gothic" w:eastAsia="Calibri" w:hAnsi="Century Gothic"/>
          <w:sz w:val="22"/>
          <w:szCs w:val="22"/>
          <w:lang w:val="es-ES" w:eastAsia="en-US"/>
        </w:rPr>
        <w:t xml:space="preserve"> por arriba del promedio habitual para el Estado de Puebla 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>y en algunas ocasiones seguramente estarán acompañadas de otro</w:t>
      </w:r>
      <w:r>
        <w:rPr>
          <w:rFonts w:ascii="Century Gothic" w:eastAsia="Calibri" w:hAnsi="Century Gothic"/>
          <w:sz w:val="22"/>
          <w:szCs w:val="22"/>
          <w:lang w:val="es-ES" w:eastAsia="en-US"/>
        </w:rPr>
        <w:t>s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fenómeno</w:t>
      </w:r>
      <w:r>
        <w:rPr>
          <w:rFonts w:ascii="Century Gothic" w:eastAsia="Calibri" w:hAnsi="Century Gothic"/>
          <w:sz w:val="22"/>
          <w:szCs w:val="22"/>
          <w:lang w:val="es-ES" w:eastAsia="en-US"/>
        </w:rPr>
        <w:t>s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naturales como la caída de granizo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provoca</w:t>
      </w:r>
      <w:r>
        <w:rPr>
          <w:rFonts w:ascii="Century Gothic" w:eastAsia="Calibri" w:hAnsi="Century Gothic"/>
          <w:sz w:val="22"/>
          <w:szCs w:val="22"/>
          <w:lang w:val="es-ES" w:eastAsia="en-US"/>
        </w:rPr>
        <w:t>ndo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que el sistema de alcantari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>llado se vea rebasado ocasionando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inundaciones.</w:t>
      </w:r>
    </w:p>
    <w:p w14:paraId="772FA8E0" w14:textId="46E08C63" w:rsidR="00B2590A" w:rsidRDefault="00532ED8" w:rsidP="00532ED8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eastAsia="en-US"/>
        </w:rPr>
      </w:pPr>
      <w:r w:rsidRPr="00B2590A">
        <w:rPr>
          <w:rFonts w:ascii="Century Gothic" w:eastAsia="Calibri" w:hAnsi="Century Gothic"/>
          <w:sz w:val="22"/>
          <w:szCs w:val="22"/>
          <w:lang w:val="es-ES" w:eastAsia="en-US"/>
        </w:rPr>
        <w:lastRenderedPageBreak/>
        <w:t xml:space="preserve">Que </w:t>
      </w:r>
      <w:r w:rsidR="00770FC1"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aunado a lo anterior existe </w:t>
      </w:r>
      <w:r w:rsidRPr="00B2590A">
        <w:rPr>
          <w:rFonts w:ascii="Century Gothic" w:eastAsia="Calibri" w:hAnsi="Century Gothic"/>
          <w:sz w:val="22"/>
          <w:szCs w:val="22"/>
          <w:lang w:val="es-ES" w:eastAsia="en-US"/>
        </w:rPr>
        <w:t>otro factor que tiene mucho que ver para que se produzcan las inundaciones o los encharcamientos en las diferentes vías públicas</w:t>
      </w:r>
      <w:r w:rsidR="00770FC1"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 de las zonas urbanas, esto es </w:t>
      </w:r>
      <w:r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la acumulación de basura </w:t>
      </w:r>
      <w:r w:rsidR="00770FC1"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arrojada por la ciudadanía </w:t>
      </w:r>
      <w:r w:rsidR="00B2590A">
        <w:rPr>
          <w:rFonts w:ascii="Century Gothic" w:eastAsia="Calibri" w:hAnsi="Century Gothic"/>
          <w:sz w:val="22"/>
          <w:szCs w:val="22"/>
          <w:lang w:val="es-ES" w:eastAsia="en-US"/>
        </w:rPr>
        <w:t>a</w:t>
      </w:r>
      <w:r w:rsidR="00770FC1"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 las vías de comunicación</w:t>
      </w:r>
      <w:r w:rsidR="003F5400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="00770FC1" w:rsidRP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  <w:proofErr w:type="gramStart"/>
      <w:r w:rsidR="003F5400">
        <w:rPr>
          <w:rFonts w:ascii="Century Gothic" w:eastAsia="Calibri" w:hAnsi="Century Gothic"/>
          <w:sz w:val="22"/>
          <w:szCs w:val="22"/>
          <w:lang w:val="es-ES" w:eastAsia="en-US"/>
        </w:rPr>
        <w:t>que</w:t>
      </w:r>
      <w:proofErr w:type="gramEnd"/>
      <w:r w:rsidR="00DF5870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  <w:r w:rsidR="00B2590A">
        <w:rPr>
          <w:rFonts w:ascii="Century Gothic" w:eastAsia="Calibri" w:hAnsi="Century Gothic"/>
          <w:sz w:val="22"/>
          <w:szCs w:val="22"/>
          <w:lang w:val="es-ES" w:eastAsia="en-US"/>
        </w:rPr>
        <w:t xml:space="preserve">al combinarse con las precipitaciones, </w:t>
      </w:r>
      <w:r w:rsidR="00B2590A" w:rsidRPr="00532ED8">
        <w:rPr>
          <w:rFonts w:ascii="Century Gothic" w:eastAsia="Calibri" w:hAnsi="Century Gothic"/>
          <w:sz w:val="22"/>
          <w:szCs w:val="22"/>
          <w:lang w:val="es-ES" w:eastAsia="en-US"/>
        </w:rPr>
        <w:t>provoca que el sistema de alcantari</w:t>
      </w:r>
      <w:r w:rsidR="00B2590A">
        <w:rPr>
          <w:rFonts w:ascii="Century Gothic" w:eastAsia="Calibri" w:hAnsi="Century Gothic"/>
          <w:sz w:val="22"/>
          <w:szCs w:val="22"/>
          <w:lang w:val="es-ES" w:eastAsia="en-US"/>
        </w:rPr>
        <w:t>llado</w:t>
      </w:r>
      <w:r w:rsidR="00B2590A"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 </w:t>
      </w:r>
      <w:r w:rsidR="00B2590A">
        <w:rPr>
          <w:rFonts w:ascii="Century Gothic" w:eastAsia="Calibri" w:hAnsi="Century Gothic"/>
          <w:sz w:val="22"/>
          <w:szCs w:val="22"/>
          <w:lang w:eastAsia="en-US"/>
        </w:rPr>
        <w:t>colapse.</w:t>
      </w:r>
    </w:p>
    <w:p w14:paraId="00AA6D12" w14:textId="77777777" w:rsidR="00B2590A" w:rsidRDefault="00B2590A" w:rsidP="00532ED8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eastAsia="en-US"/>
        </w:rPr>
      </w:pPr>
    </w:p>
    <w:p w14:paraId="548C8EF8" w14:textId="7073C54E" w:rsidR="00532ED8" w:rsidRDefault="00532ED8" w:rsidP="00532ED8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eastAsia="en-US"/>
        </w:rPr>
      </w:pPr>
      <w:r w:rsidRPr="00532ED8">
        <w:rPr>
          <w:rFonts w:ascii="Century Gothic" w:eastAsia="Calibri" w:hAnsi="Century Gothic"/>
          <w:sz w:val="22"/>
          <w:szCs w:val="22"/>
          <w:lang w:eastAsia="en-US"/>
        </w:rPr>
        <w:t>Que derivado de los fenómenos meteorológicos anteriormente citados</w:t>
      </w:r>
      <w:r w:rsidR="004F26F0">
        <w:rPr>
          <w:rFonts w:ascii="Century Gothic" w:eastAsia="Calibri" w:hAnsi="Century Gothic"/>
          <w:sz w:val="22"/>
          <w:szCs w:val="22"/>
          <w:lang w:eastAsia="en-US"/>
        </w:rPr>
        <w:t>,</w:t>
      </w:r>
      <w:r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 también se podrán generar incrementos en los niveles de ríos y arroyos, </w:t>
      </w:r>
      <w:r w:rsidR="004F26F0">
        <w:rPr>
          <w:rFonts w:ascii="Century Gothic" w:eastAsia="Calibri" w:hAnsi="Century Gothic"/>
          <w:sz w:val="22"/>
          <w:szCs w:val="22"/>
          <w:lang w:eastAsia="en-US"/>
        </w:rPr>
        <w:t xml:space="preserve">trayendo como consecuencia </w:t>
      </w:r>
      <w:r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deslaves e inundaciones en </w:t>
      </w:r>
      <w:r w:rsidR="009C049D">
        <w:rPr>
          <w:rFonts w:ascii="Century Gothic" w:eastAsia="Calibri" w:hAnsi="Century Gothic"/>
          <w:sz w:val="22"/>
          <w:szCs w:val="22"/>
          <w:lang w:eastAsia="en-US"/>
        </w:rPr>
        <w:t xml:space="preserve">diversas </w:t>
      </w:r>
      <w:r w:rsidRPr="00532ED8">
        <w:rPr>
          <w:rFonts w:ascii="Century Gothic" w:eastAsia="Calibri" w:hAnsi="Century Gothic"/>
          <w:sz w:val="22"/>
          <w:szCs w:val="22"/>
          <w:lang w:eastAsia="en-US"/>
        </w:rPr>
        <w:t>zonas de la entidad poblana.</w:t>
      </w:r>
    </w:p>
    <w:p w14:paraId="49AB92DC" w14:textId="77777777" w:rsidR="00532ED8" w:rsidRPr="00532ED8" w:rsidRDefault="00532ED8" w:rsidP="00532ED8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eastAsia="en-US"/>
        </w:rPr>
      </w:pPr>
    </w:p>
    <w:p w14:paraId="2F5593A4" w14:textId="442A0D1B" w:rsidR="00532ED8" w:rsidRDefault="00532ED8" w:rsidP="00737C09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>Que en este sentido es importante que la Comisión Nacional del Agua realice las declaratorias de clasificación de zonas de alto riesgo por inundaciones y elabore los atlas que correspondan a la entidad poblana como lo dispone la fracción XLIII del artículo 9 de la Ley de Aguas Nacionales.</w:t>
      </w:r>
    </w:p>
    <w:p w14:paraId="1C459044" w14:textId="77777777" w:rsidR="00737C09" w:rsidRPr="00532ED8" w:rsidRDefault="00737C09" w:rsidP="00737C09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</w:p>
    <w:p w14:paraId="010DC25D" w14:textId="4A230F85" w:rsidR="00532ED8" w:rsidRPr="00532ED8" w:rsidRDefault="00532ED8" w:rsidP="00FD5331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>Que el tercer párrafo del ar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>tículo 41 de la Ley General de Protección C</w:t>
      </w:r>
      <w:r w:rsidRPr="00532ED8">
        <w:rPr>
          <w:rFonts w:ascii="Century Gothic" w:eastAsia="Calibri" w:hAnsi="Century Gothic"/>
          <w:sz w:val="22"/>
          <w:szCs w:val="22"/>
          <w:lang w:val="es-ES" w:eastAsia="en-US"/>
        </w:rPr>
        <w:t>ivil dispone que la población vulnerable y expuesta a un peligro, tiene el derecho a estar informada de ello y a contar con las vías adecuadas de opinión y participación en la gestión del riesgo.</w:t>
      </w:r>
    </w:p>
    <w:p w14:paraId="55A94034" w14:textId="77777777" w:rsidR="00737C09" w:rsidRDefault="00737C09" w:rsidP="00532ED8">
      <w:pPr>
        <w:spacing w:after="160" w:line="360" w:lineRule="auto"/>
        <w:rPr>
          <w:rFonts w:ascii="Century Gothic" w:eastAsia="Calibri" w:hAnsi="Century Gothic"/>
          <w:sz w:val="22"/>
          <w:szCs w:val="22"/>
          <w:lang w:val="es-ES" w:eastAsia="en-US"/>
        </w:rPr>
      </w:pPr>
    </w:p>
    <w:p w14:paraId="07E61DB7" w14:textId="05E8550D" w:rsidR="00532ED8" w:rsidRDefault="00F8516F" w:rsidP="00941A73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proofErr w:type="gramStart"/>
      <w:r>
        <w:rPr>
          <w:rFonts w:ascii="Century Gothic" w:eastAsia="Calibri" w:hAnsi="Century Gothic"/>
          <w:sz w:val="22"/>
          <w:szCs w:val="22"/>
          <w:lang w:val="es-ES" w:eastAsia="en-US"/>
        </w:rPr>
        <w:t>Que</w:t>
      </w:r>
      <w:proofErr w:type="gramEnd"/>
      <w:r>
        <w:rPr>
          <w:rFonts w:ascii="Century Gothic" w:eastAsia="Calibri" w:hAnsi="Century Gothic"/>
          <w:sz w:val="22"/>
          <w:szCs w:val="22"/>
          <w:lang w:val="es-ES" w:eastAsia="en-US"/>
        </w:rPr>
        <w:t xml:space="preserve"> r</w:t>
      </w:r>
      <w:r w:rsidR="00532ED8"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especto 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>de las medidas de seguridad</w:t>
      </w:r>
      <w:r w:rsidR="003F5400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 xml:space="preserve"> la L</w:t>
      </w:r>
      <w:r w:rsidR="00532ED8" w:rsidRPr="00532ED8">
        <w:rPr>
          <w:rFonts w:ascii="Century Gothic" w:eastAsia="Calibri" w:hAnsi="Century Gothic"/>
          <w:sz w:val="22"/>
          <w:szCs w:val="22"/>
          <w:lang w:val="es-ES" w:eastAsia="en-US"/>
        </w:rPr>
        <w:t>ey en comento</w:t>
      </w:r>
      <w:r w:rsidR="00941A73">
        <w:rPr>
          <w:rFonts w:ascii="Century Gothic" w:eastAsia="Calibri" w:hAnsi="Century Gothic"/>
          <w:sz w:val="22"/>
          <w:szCs w:val="22"/>
          <w:lang w:val="es-ES" w:eastAsia="en-US"/>
        </w:rPr>
        <w:t>,</w:t>
      </w:r>
      <w:r w:rsidR="00532ED8"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 en su numeral 73 dispone lo siguiente:</w:t>
      </w:r>
    </w:p>
    <w:p w14:paraId="3E1738FC" w14:textId="77777777" w:rsidR="00941A73" w:rsidRPr="00532ED8" w:rsidRDefault="00941A73" w:rsidP="00941A73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</w:p>
    <w:p w14:paraId="7D5DDD9F" w14:textId="6B406A5A" w:rsidR="00532ED8" w:rsidRDefault="00532ED8" w:rsidP="00941A73">
      <w:pPr>
        <w:spacing w:after="160"/>
        <w:ind w:left="709" w:right="899"/>
        <w:jc w:val="both"/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</w:pPr>
      <w:r w:rsidRPr="00532ED8"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  <w:t xml:space="preserve">“En caso de riesgo inminente, sin perjuicio de la emisión de una declaratoria de emergencia o desastre natural y de lo que establezcan otras disposiciones legales, las dependencias y entidades de la administración pública federal, de las entidades federativas, de los municipios y de las demarcaciones territoriales de la Ciudad de México, ejecutarán las medidas de seguridad que les competan, a fin de proteger </w:t>
      </w:r>
      <w:r w:rsidRPr="00532ED8"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  <w:lastRenderedPageBreak/>
        <w:t>la vida de la población y sus bienes, la planta productiva y su entorno, para garantizar el funcionamiento de los servicios esenciales de la comunidad, informando en forma inmediata a las autoridades de protección civil correspondientes sobre las acciones emprendidas, quienes instalarán en los casos que se considere necesario y conforme a la normatividad aplicable, el centro de operaciones, como centro de comando y de coordinación de las acciones en el sitio”.</w:t>
      </w:r>
    </w:p>
    <w:p w14:paraId="213CE56D" w14:textId="77777777" w:rsidR="00941A73" w:rsidRPr="00941A73" w:rsidRDefault="00941A73" w:rsidP="00941A73">
      <w:pPr>
        <w:spacing w:after="160"/>
        <w:ind w:right="899"/>
        <w:jc w:val="both"/>
        <w:rPr>
          <w:rFonts w:ascii="Century Gothic" w:eastAsia="Calibri" w:hAnsi="Century Gothic" w:cs="Arial"/>
          <w:iCs/>
          <w:sz w:val="22"/>
          <w:szCs w:val="22"/>
          <w:lang w:eastAsia="en-US"/>
        </w:rPr>
      </w:pPr>
    </w:p>
    <w:p w14:paraId="26BF8454" w14:textId="7F291B3B" w:rsidR="00532ED8" w:rsidRPr="00532ED8" w:rsidRDefault="001D5A94" w:rsidP="009C049D">
      <w:pPr>
        <w:spacing w:after="160"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1D5A94">
        <w:rPr>
          <w:rFonts w:ascii="Century Gothic" w:eastAsia="Calibri" w:hAnsi="Century Gothic"/>
          <w:sz w:val="22"/>
          <w:szCs w:val="22"/>
          <w:lang w:val="es-ES" w:eastAsia="en-US"/>
        </w:rPr>
        <w:t xml:space="preserve">Que el </w:t>
      </w:r>
      <w:r w:rsidR="003F5400">
        <w:rPr>
          <w:rFonts w:ascii="Century Gothic" w:eastAsia="Calibri" w:hAnsi="Century Gothic"/>
          <w:sz w:val="22"/>
          <w:szCs w:val="22"/>
          <w:lang w:val="es-ES" w:eastAsia="en-US"/>
        </w:rPr>
        <w:t>artículo 75 de la Ley en cita,</w:t>
      </w:r>
      <w:r w:rsidRPr="001D5A94">
        <w:rPr>
          <w:rFonts w:ascii="Century Gothic" w:eastAsia="Calibri" w:hAnsi="Century Gothic"/>
          <w:sz w:val="22"/>
          <w:szCs w:val="22"/>
          <w:lang w:val="es-ES" w:eastAsia="en-US"/>
        </w:rPr>
        <w:t xml:space="preserve"> dispone que </w:t>
      </w:r>
      <w:r w:rsidR="00532ED8" w:rsidRPr="001D5A94">
        <w:rPr>
          <w:rFonts w:ascii="Century Gothic" w:eastAsia="Calibri" w:hAnsi="Century Gothic"/>
          <w:sz w:val="22"/>
          <w:szCs w:val="22"/>
          <w:lang w:val="es-ES" w:eastAsia="en-US"/>
        </w:rPr>
        <w:t xml:space="preserve">las unidades, municipios y demarcaciones de la Ciudad de México de protección civil, tendrán las facultades de aplicar las </w:t>
      </w:r>
      <w:r w:rsidR="003F5400">
        <w:rPr>
          <w:rFonts w:ascii="Century Gothic" w:eastAsia="Calibri" w:hAnsi="Century Gothic"/>
          <w:sz w:val="22"/>
          <w:szCs w:val="22"/>
          <w:lang w:val="es-ES" w:eastAsia="en-US"/>
        </w:rPr>
        <w:t>siguientes medidas de seguridad</w:t>
      </w:r>
      <w:r w:rsidR="00532ED8" w:rsidRPr="001D5A94">
        <w:rPr>
          <w:rFonts w:ascii="Century Gothic" w:eastAsia="Calibri" w:hAnsi="Century Gothic"/>
          <w:sz w:val="22"/>
          <w:szCs w:val="22"/>
          <w:lang w:val="es-ES" w:eastAsia="en-US"/>
        </w:rPr>
        <w:t>:</w:t>
      </w:r>
      <w:r w:rsidR="002A478F">
        <w:rPr>
          <w:rFonts w:ascii="Century Gothic" w:eastAsia="Calibri" w:hAnsi="Century Gothic"/>
          <w:sz w:val="22"/>
          <w:szCs w:val="22"/>
          <w:lang w:val="es-ES" w:eastAsia="en-US"/>
        </w:rPr>
        <w:t xml:space="preserve"> </w:t>
      </w:r>
    </w:p>
    <w:p w14:paraId="1C444347" w14:textId="2F360E0C" w:rsidR="00532ED8" w:rsidRPr="003F5400" w:rsidRDefault="003F5400" w:rsidP="00FF6BAF">
      <w:pPr>
        <w:spacing w:after="160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>
        <w:rPr>
          <w:rFonts w:ascii="Century Gothic" w:eastAsia="Calibri" w:hAnsi="Century Gothic" w:cs="Arial"/>
          <w:i/>
          <w:sz w:val="22"/>
          <w:szCs w:val="22"/>
          <w:lang w:eastAsia="en-US"/>
        </w:rPr>
        <w:t>“</w:t>
      </w:r>
      <w:r w:rsidR="00532ED8"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 xml:space="preserve">I. Identificación y delimitación de lugares o zonas de riesgo; </w:t>
      </w:r>
    </w:p>
    <w:p w14:paraId="01D5B1D5" w14:textId="77777777" w:rsidR="00532ED8" w:rsidRPr="003F5400" w:rsidRDefault="00532ED8" w:rsidP="00FF6BAF">
      <w:pPr>
        <w:spacing w:after="160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II. Control de rutas de evacuación y acceso a las zonas afectadas;</w:t>
      </w:r>
    </w:p>
    <w:p w14:paraId="7E13E898" w14:textId="77777777" w:rsidR="00532ED8" w:rsidRPr="003F5400" w:rsidRDefault="00532ED8" w:rsidP="00FF6BAF">
      <w:pPr>
        <w:spacing w:after="160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III. Acciones preventivas para la movilización precautoria de la población y su instalación y atención en refugios temporales;</w:t>
      </w:r>
    </w:p>
    <w:p w14:paraId="5CCEF7DB" w14:textId="77777777" w:rsidR="00532ED8" w:rsidRPr="003F5400" w:rsidRDefault="00532ED8" w:rsidP="00FF6BAF">
      <w:pPr>
        <w:spacing w:after="160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IV. Coordinación de los servicios asistenciales;</w:t>
      </w:r>
    </w:p>
    <w:p w14:paraId="0B0783A0" w14:textId="07563A94" w:rsidR="00532ED8" w:rsidRPr="003F5400" w:rsidRDefault="00532ED8" w:rsidP="00FF6BAF">
      <w:pPr>
        <w:spacing w:after="160" w:line="360" w:lineRule="auto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V. El aislamiento temporal, parcial o total del área afectada;</w:t>
      </w:r>
    </w:p>
    <w:p w14:paraId="3A51364A" w14:textId="77777777" w:rsidR="00532ED8" w:rsidRPr="003F5400" w:rsidRDefault="00532ED8" w:rsidP="00FF6BAF">
      <w:pPr>
        <w:spacing w:after="160" w:line="360" w:lineRule="auto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VI. La suspensión de trabajos, actividades y servicios, y</w:t>
      </w:r>
    </w:p>
    <w:p w14:paraId="589C9251" w14:textId="3535D070" w:rsidR="00532ED8" w:rsidRPr="003F5400" w:rsidRDefault="00532ED8" w:rsidP="00FF6BAF">
      <w:pPr>
        <w:spacing w:after="160" w:line="360" w:lineRule="auto"/>
        <w:ind w:left="709" w:right="899"/>
        <w:jc w:val="both"/>
        <w:rPr>
          <w:rFonts w:ascii="Century Gothic" w:eastAsia="Calibri" w:hAnsi="Century Gothic" w:cs="Arial"/>
          <w:i/>
          <w:sz w:val="22"/>
          <w:szCs w:val="22"/>
          <w:lang w:eastAsia="en-US"/>
        </w:rPr>
      </w:pP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VII. Las demás que en materia de protección civil determinen las disposiciones reglamentarias y la legislación local correspondiente, tendientes a evitar que se generen o sigan causando daños</w:t>
      </w:r>
      <w:r w:rsid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”</w:t>
      </w:r>
      <w:r w:rsidRPr="003F5400">
        <w:rPr>
          <w:rFonts w:ascii="Century Gothic" w:eastAsia="Calibri" w:hAnsi="Century Gothic" w:cs="Arial"/>
          <w:i/>
          <w:sz w:val="22"/>
          <w:szCs w:val="22"/>
          <w:lang w:eastAsia="en-US"/>
        </w:rPr>
        <w:t>.</w:t>
      </w:r>
    </w:p>
    <w:p w14:paraId="2113A333" w14:textId="77777777" w:rsidR="002A478F" w:rsidRDefault="002A478F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</w:p>
    <w:p w14:paraId="09A61AAD" w14:textId="77777777" w:rsidR="00532ED8" w:rsidRDefault="00532ED8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  <w:r w:rsidRPr="00532ED8">
        <w:rPr>
          <w:rFonts w:ascii="Century Gothic" w:eastAsia="Calibri" w:hAnsi="Century Gothic" w:cs="Arial"/>
          <w:sz w:val="22"/>
          <w:szCs w:val="22"/>
          <w:lang w:eastAsia="en-US"/>
        </w:rPr>
        <w:t>Que la Constitución Política del Estado Libre y Soberano de Puebla es su artículo 104 dispone que los Municipios tendrán a su cargo las funciones y servicios públicos siguientes:</w:t>
      </w:r>
    </w:p>
    <w:p w14:paraId="03263642" w14:textId="77777777" w:rsidR="002A478F" w:rsidRPr="00532ED8" w:rsidRDefault="002A478F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</w:p>
    <w:p w14:paraId="0968AB1B" w14:textId="0F78DA8B" w:rsidR="002A478F" w:rsidRDefault="00532ED8" w:rsidP="00FF6BAF">
      <w:pPr>
        <w:spacing w:after="160" w:line="360" w:lineRule="auto"/>
        <w:ind w:left="709" w:right="900"/>
        <w:rPr>
          <w:rFonts w:ascii="Century Gothic" w:eastAsia="Calibri" w:hAnsi="Century Gothic"/>
          <w:i/>
          <w:iCs/>
          <w:sz w:val="22"/>
          <w:szCs w:val="22"/>
          <w:lang w:eastAsia="en-US"/>
        </w:rPr>
      </w:pPr>
      <w:r w:rsidRPr="00532ED8">
        <w:rPr>
          <w:rFonts w:ascii="Century Gothic" w:eastAsia="Calibri" w:hAnsi="Century Gothic"/>
          <w:i/>
          <w:iCs/>
          <w:sz w:val="22"/>
          <w:szCs w:val="22"/>
          <w:lang w:eastAsia="en-US"/>
        </w:rPr>
        <w:t>a). Agua potable, drenaje, alcantarillado, tratamiento y disposición de sus aguas residuales</w:t>
      </w:r>
      <w:r w:rsidR="009C049D">
        <w:rPr>
          <w:rFonts w:ascii="Century Gothic" w:eastAsia="Calibri" w:hAnsi="Century Gothic"/>
          <w:i/>
          <w:iCs/>
          <w:sz w:val="22"/>
          <w:szCs w:val="22"/>
          <w:lang w:eastAsia="en-US"/>
        </w:rPr>
        <w:t>.</w:t>
      </w:r>
    </w:p>
    <w:p w14:paraId="2A64AEA9" w14:textId="77777777" w:rsidR="002A478F" w:rsidRPr="002A478F" w:rsidRDefault="002A478F" w:rsidP="002A478F">
      <w:pPr>
        <w:spacing w:after="160" w:line="360" w:lineRule="auto"/>
        <w:ind w:right="900"/>
        <w:rPr>
          <w:rFonts w:ascii="Century Gothic" w:eastAsia="Calibri" w:hAnsi="Century Gothic"/>
          <w:iCs/>
          <w:sz w:val="22"/>
          <w:szCs w:val="22"/>
          <w:lang w:eastAsia="en-US"/>
        </w:rPr>
      </w:pPr>
    </w:p>
    <w:p w14:paraId="2DEE369C" w14:textId="77777777" w:rsidR="00FF6BAF" w:rsidRDefault="00FF6BAF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</w:p>
    <w:p w14:paraId="56841D08" w14:textId="77777777" w:rsidR="00FF6BAF" w:rsidRDefault="002A478F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  <w:r>
        <w:rPr>
          <w:rFonts w:ascii="Century Gothic" w:eastAsia="Calibri" w:hAnsi="Century Gothic" w:cs="Arial"/>
          <w:sz w:val="22"/>
          <w:szCs w:val="22"/>
          <w:lang w:eastAsia="en-US"/>
        </w:rPr>
        <w:t>Que la Ley del A</w:t>
      </w:r>
      <w:r w:rsidR="00532ED8" w:rsidRPr="00532ED8">
        <w:rPr>
          <w:rFonts w:ascii="Century Gothic" w:eastAsia="Calibri" w:hAnsi="Century Gothic" w:cs="Arial"/>
          <w:sz w:val="22"/>
          <w:szCs w:val="22"/>
          <w:lang w:eastAsia="en-US"/>
        </w:rPr>
        <w:t>gua para el Estado de Pue</w:t>
      </w:r>
      <w:r w:rsidR="00FF6BAF">
        <w:rPr>
          <w:rFonts w:ascii="Century Gothic" w:eastAsia="Calibri" w:hAnsi="Century Gothic" w:cs="Arial"/>
          <w:sz w:val="22"/>
          <w:szCs w:val="22"/>
          <w:lang w:eastAsia="en-US"/>
        </w:rPr>
        <w:t xml:space="preserve">bla dispone en su numeral 76, lo siguiente: </w:t>
      </w:r>
    </w:p>
    <w:p w14:paraId="22968AE0" w14:textId="77777777" w:rsidR="00FF6BAF" w:rsidRDefault="00FF6BAF" w:rsidP="00FD5331">
      <w:pPr>
        <w:spacing w:after="160"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</w:p>
    <w:p w14:paraId="4D8696F2" w14:textId="255AAC73" w:rsidR="00532ED8" w:rsidRPr="00532ED8" w:rsidRDefault="00532ED8" w:rsidP="00FF6BAF">
      <w:pPr>
        <w:spacing w:after="160" w:line="360" w:lineRule="auto"/>
        <w:ind w:left="709" w:right="899"/>
        <w:jc w:val="both"/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</w:pPr>
      <w:r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Pr="00532ED8"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  <w:t>“Las Aguas Pluviales serán captadas en las redes públicas para su conducción y tratamiento, siendo responsabilidad del Prestador de Servicios Públicos atender situaciones de contingencia que colmen o saturen los sistemas en eventos de lluvia, granizo o nieve”.</w:t>
      </w:r>
    </w:p>
    <w:p w14:paraId="3F59A472" w14:textId="77777777" w:rsidR="00532ED8" w:rsidRPr="00532ED8" w:rsidRDefault="00532ED8" w:rsidP="00532ED8">
      <w:pPr>
        <w:spacing w:after="160" w:line="360" w:lineRule="auto"/>
        <w:jc w:val="both"/>
        <w:rPr>
          <w:rFonts w:ascii="Century Gothic" w:eastAsia="Calibri" w:hAnsi="Century Gothic" w:cs="Arial"/>
          <w:i/>
          <w:iCs/>
          <w:sz w:val="22"/>
          <w:szCs w:val="22"/>
          <w:lang w:eastAsia="en-US"/>
        </w:rPr>
      </w:pPr>
    </w:p>
    <w:p w14:paraId="2337CB6A" w14:textId="77777777" w:rsidR="00E16D55" w:rsidRDefault="00532ED8" w:rsidP="00532ED8">
      <w:pPr>
        <w:autoSpaceDE w:val="0"/>
        <w:autoSpaceDN w:val="0"/>
        <w:adjustRightInd w:val="0"/>
        <w:spacing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  <w:r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En virtud de lo anterior y en observancia a la declaración del Servicio Meteorológico Nacional </w:t>
      </w:r>
      <w:r w:rsidR="001B32BF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en la </w:t>
      </w:r>
      <w:r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que </w:t>
      </w:r>
      <w:r w:rsidR="001B32BF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menciona que </w:t>
      </w:r>
      <w:r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a partir del día quince de mayo del presente año dio inicio la temporada de lluvias asociadas a ciclones tropicales 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>fenómenos meteorológicos que afectar</w:t>
      </w:r>
      <w:r w:rsidR="00AD6959">
        <w:rPr>
          <w:rFonts w:ascii="Century Gothic" w:eastAsia="Calibri" w:hAnsi="Century Gothic" w:cs="Arial"/>
          <w:sz w:val="22"/>
          <w:szCs w:val="22"/>
          <w:lang w:eastAsia="en-US"/>
        </w:rPr>
        <w:t>á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>n al Estado de Puebla, provocando inundaciones</w:t>
      </w:r>
      <w:r w:rsidR="002C795B">
        <w:rPr>
          <w:rFonts w:ascii="Century Gothic" w:eastAsia="Calibri" w:hAnsi="Century Gothic" w:cs="Arial"/>
          <w:sz w:val="22"/>
          <w:szCs w:val="22"/>
          <w:lang w:eastAsia="en-US"/>
        </w:rPr>
        <w:t>;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2C795B">
        <w:rPr>
          <w:rFonts w:ascii="Century Gothic" w:eastAsia="Calibri" w:hAnsi="Century Gothic" w:cs="Arial"/>
          <w:sz w:val="22"/>
          <w:szCs w:val="22"/>
          <w:lang w:eastAsia="en-US"/>
        </w:rPr>
        <w:t xml:space="preserve">y </w:t>
      </w:r>
      <w:r w:rsidR="001B32BF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con el propósito de </w:t>
      </w:r>
      <w:r w:rsidR="001B32BF" w:rsidRPr="002C795B">
        <w:rPr>
          <w:rFonts w:ascii="Century Gothic" w:eastAsia="Calibri" w:hAnsi="Century Gothic" w:cs="Arial"/>
          <w:sz w:val="22"/>
          <w:szCs w:val="22"/>
          <w:lang w:eastAsia="en-US"/>
        </w:rPr>
        <w:t>prevenir a la ciudadanía</w:t>
      </w:r>
      <w:r w:rsidR="001B32BF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32023F">
        <w:rPr>
          <w:rFonts w:ascii="Century Gothic" w:eastAsia="Calibri" w:hAnsi="Century Gothic" w:cs="Arial"/>
          <w:sz w:val="22"/>
          <w:szCs w:val="22"/>
          <w:lang w:eastAsia="en-US"/>
        </w:rPr>
        <w:t>de posibles</w:t>
      </w:r>
      <w:r w:rsidR="0032023F"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 incrementos en los niveles de ríos y arroyos, en </w:t>
      </w:r>
      <w:r w:rsidR="0032023F">
        <w:rPr>
          <w:rFonts w:ascii="Century Gothic" w:eastAsia="Calibri" w:hAnsi="Century Gothic"/>
          <w:sz w:val="22"/>
          <w:szCs w:val="22"/>
          <w:lang w:eastAsia="en-US"/>
        </w:rPr>
        <w:t xml:space="preserve">diversas </w:t>
      </w:r>
      <w:r w:rsidR="0032023F" w:rsidRPr="00532ED8">
        <w:rPr>
          <w:rFonts w:ascii="Century Gothic" w:eastAsia="Calibri" w:hAnsi="Century Gothic"/>
          <w:sz w:val="22"/>
          <w:szCs w:val="22"/>
          <w:lang w:eastAsia="en-US"/>
        </w:rPr>
        <w:t>zonas de la entidad poblana</w:t>
      </w:r>
      <w:r w:rsidR="0032023F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resulta oportuno exhortar a la </w:t>
      </w:r>
      <w:r w:rsidR="00C24CB7"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Comisión Nacional del Agua realice las declaratorias de clasificación de zonas de alto riesgo por inundaciones y </w:t>
      </w:r>
      <w:r w:rsidR="00107367" w:rsidRPr="00AD6959">
        <w:rPr>
          <w:rFonts w:ascii="Century Gothic" w:eastAsia="Calibri" w:hAnsi="Century Gothic"/>
          <w:sz w:val="22"/>
          <w:szCs w:val="22"/>
          <w:lang w:val="es-ES" w:eastAsia="en-US"/>
        </w:rPr>
        <w:t xml:space="preserve">dé a conocer </w:t>
      </w:r>
      <w:r w:rsidR="009C049D">
        <w:rPr>
          <w:rFonts w:ascii="Century Gothic" w:eastAsia="Calibri" w:hAnsi="Century Gothic"/>
          <w:sz w:val="22"/>
          <w:szCs w:val="22"/>
          <w:lang w:val="es-ES" w:eastAsia="en-US"/>
        </w:rPr>
        <w:t xml:space="preserve">a la población en general </w:t>
      </w:r>
      <w:r w:rsidR="00C24CB7" w:rsidRPr="00532ED8">
        <w:rPr>
          <w:rFonts w:ascii="Century Gothic" w:eastAsia="Calibri" w:hAnsi="Century Gothic"/>
          <w:sz w:val="22"/>
          <w:szCs w:val="22"/>
          <w:lang w:val="es-ES" w:eastAsia="en-US"/>
        </w:rPr>
        <w:t>los atlas que correspondan a</w:t>
      </w:r>
      <w:r w:rsidR="00E16D55">
        <w:rPr>
          <w:rFonts w:ascii="Century Gothic" w:eastAsia="Calibri" w:hAnsi="Century Gothic"/>
          <w:sz w:val="22"/>
          <w:szCs w:val="22"/>
          <w:lang w:val="es-ES" w:eastAsia="en-US"/>
        </w:rPr>
        <w:t xml:space="preserve">l Estado de Puebla. </w:t>
      </w:r>
    </w:p>
    <w:p w14:paraId="00E707A2" w14:textId="77777777" w:rsidR="00E16D55" w:rsidRDefault="00E16D55" w:rsidP="00532ED8">
      <w:pPr>
        <w:autoSpaceDE w:val="0"/>
        <w:autoSpaceDN w:val="0"/>
        <w:adjustRightInd w:val="0"/>
        <w:spacing w:line="360" w:lineRule="auto"/>
        <w:jc w:val="both"/>
        <w:rPr>
          <w:rFonts w:ascii="Century Gothic" w:eastAsia="Calibri" w:hAnsi="Century Gothic"/>
          <w:sz w:val="22"/>
          <w:szCs w:val="22"/>
          <w:lang w:val="es-ES" w:eastAsia="en-US"/>
        </w:rPr>
      </w:pPr>
    </w:p>
    <w:p w14:paraId="2D933BA4" w14:textId="49820AD1" w:rsidR="007804AB" w:rsidRPr="00E16D55" w:rsidRDefault="00E16D55" w:rsidP="00532ED8">
      <w:pPr>
        <w:autoSpaceDE w:val="0"/>
        <w:autoSpaceDN w:val="0"/>
        <w:adjustRightInd w:val="0"/>
        <w:spacing w:line="360" w:lineRule="auto"/>
        <w:jc w:val="both"/>
        <w:rPr>
          <w:rFonts w:ascii="Century Gothic" w:eastAsia="Calibri" w:hAnsi="Century Gothic" w:cs="Arial"/>
          <w:sz w:val="22"/>
          <w:szCs w:val="22"/>
          <w:lang w:eastAsia="en-US"/>
        </w:rPr>
      </w:pPr>
      <w:r>
        <w:rPr>
          <w:rFonts w:ascii="Century Gothic" w:eastAsia="Calibri" w:hAnsi="Century Gothic"/>
          <w:sz w:val="22"/>
          <w:szCs w:val="22"/>
          <w:lang w:val="es-ES" w:eastAsia="en-US"/>
        </w:rPr>
        <w:t xml:space="preserve">Así como también, 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a los 217 </w:t>
      </w:r>
      <w:r w:rsidR="008B633A" w:rsidRPr="00AD6959">
        <w:rPr>
          <w:rFonts w:ascii="Century Gothic" w:eastAsia="Calibri" w:hAnsi="Century Gothic" w:cs="Arial"/>
          <w:sz w:val="22"/>
          <w:szCs w:val="22"/>
          <w:lang w:eastAsia="en-US"/>
        </w:rPr>
        <w:t>A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>yuntamientos</w:t>
      </w:r>
      <w:r w:rsidR="008B633A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para que por su conducto se </w:t>
      </w:r>
      <w:r w:rsidR="0010736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prevea 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atender </w:t>
      </w:r>
      <w:r w:rsidR="0010736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las 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situaciones de contingencia que colmen o saturen los sistemas </w:t>
      </w:r>
      <w:r w:rsidR="0010736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de las redes públicas de alcantarillado por 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>eventos de lluvia</w:t>
      </w:r>
      <w:r w:rsidR="009C049D">
        <w:rPr>
          <w:rFonts w:ascii="Century Gothic" w:eastAsia="Calibri" w:hAnsi="Century Gothic" w:cs="Arial"/>
          <w:sz w:val="22"/>
          <w:szCs w:val="22"/>
          <w:lang w:eastAsia="en-US"/>
        </w:rPr>
        <w:t xml:space="preserve"> y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 granizo</w:t>
      </w:r>
      <w:r>
        <w:rPr>
          <w:rFonts w:ascii="Century Gothic" w:eastAsia="Calibri" w:hAnsi="Century Gothic" w:cs="Arial"/>
          <w:sz w:val="22"/>
          <w:szCs w:val="22"/>
          <w:lang w:eastAsia="en-US"/>
        </w:rPr>
        <w:t>; y a su vez,</w:t>
      </w:r>
      <w:r w:rsidR="00FF6BAF">
        <w:rPr>
          <w:rFonts w:ascii="Century Gothic" w:eastAsia="Calibri" w:hAnsi="Century Gothic" w:cs="Arial"/>
          <w:sz w:val="22"/>
          <w:szCs w:val="22"/>
          <w:lang w:eastAsia="en-US"/>
        </w:rPr>
        <w:t xml:space="preserve"> a</w:t>
      </w:r>
      <w:r w:rsidR="005949A8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>l</w:t>
      </w:r>
      <w:r w:rsidR="005949A8">
        <w:rPr>
          <w:rFonts w:ascii="Century Gothic" w:eastAsia="Calibri" w:hAnsi="Century Gothic" w:cs="Arial"/>
          <w:sz w:val="22"/>
          <w:szCs w:val="22"/>
          <w:lang w:eastAsia="en-US"/>
        </w:rPr>
        <w:t xml:space="preserve">a Dirección General 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de </w:t>
      </w:r>
      <w:r w:rsidR="008B633A" w:rsidRPr="00AD6959">
        <w:rPr>
          <w:rFonts w:ascii="Century Gothic" w:eastAsia="Calibri" w:hAnsi="Century Gothic" w:cs="Arial"/>
          <w:sz w:val="22"/>
          <w:szCs w:val="22"/>
          <w:lang w:eastAsia="en-US"/>
        </w:rPr>
        <w:t>P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rotección </w:t>
      </w:r>
      <w:r w:rsidR="008B633A" w:rsidRPr="00AD6959">
        <w:rPr>
          <w:rFonts w:ascii="Century Gothic" w:eastAsia="Calibri" w:hAnsi="Century Gothic" w:cs="Arial"/>
          <w:sz w:val="22"/>
          <w:szCs w:val="22"/>
          <w:lang w:eastAsia="en-US"/>
        </w:rPr>
        <w:t>C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>ivil</w:t>
      </w:r>
      <w:r w:rsidR="005949A8">
        <w:rPr>
          <w:rFonts w:ascii="Century Gothic" w:eastAsia="Calibri" w:hAnsi="Century Gothic" w:cs="Arial"/>
          <w:sz w:val="22"/>
          <w:szCs w:val="22"/>
          <w:lang w:eastAsia="en-US"/>
        </w:rPr>
        <w:t xml:space="preserve"> del Gobierno del Estado de Puebla,</w:t>
      </w:r>
      <w:r w:rsidR="00C24CB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2C795B">
        <w:rPr>
          <w:rFonts w:ascii="Century Gothic" w:eastAsia="Calibri" w:hAnsi="Century Gothic" w:cs="Arial"/>
          <w:sz w:val="22"/>
          <w:szCs w:val="22"/>
          <w:lang w:eastAsia="en-US"/>
        </w:rPr>
        <w:t>i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>dentifi</w:t>
      </w:r>
      <w:r w:rsidR="0010736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que 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>y delimit</w:t>
      </w:r>
      <w:r w:rsidR="00107367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 </w:t>
      </w:r>
      <w:r w:rsidR="00107367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lugares o zonas </w:t>
      </w:r>
      <w:r w:rsidR="00563FAB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en donde se pudieran </w:t>
      </w:r>
      <w:r w:rsidR="00563FAB" w:rsidRPr="00532ED8">
        <w:rPr>
          <w:rFonts w:ascii="Century Gothic" w:eastAsia="Calibri" w:hAnsi="Century Gothic"/>
          <w:sz w:val="22"/>
          <w:szCs w:val="22"/>
          <w:lang w:eastAsia="en-US"/>
        </w:rPr>
        <w:t>increment</w:t>
      </w:r>
      <w:r w:rsidR="00563FAB" w:rsidRPr="00AD6959">
        <w:rPr>
          <w:rFonts w:ascii="Century Gothic" w:eastAsia="Calibri" w:hAnsi="Century Gothic"/>
          <w:sz w:val="22"/>
          <w:szCs w:val="22"/>
          <w:lang w:eastAsia="en-US"/>
        </w:rPr>
        <w:t>ar</w:t>
      </w:r>
      <w:r w:rsidR="00563FAB"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 </w:t>
      </w:r>
      <w:r w:rsidR="00563FAB" w:rsidRPr="00AD6959">
        <w:rPr>
          <w:rFonts w:ascii="Century Gothic" w:eastAsia="Calibri" w:hAnsi="Century Gothic"/>
          <w:sz w:val="22"/>
          <w:szCs w:val="22"/>
          <w:lang w:eastAsia="en-US"/>
        </w:rPr>
        <w:t>los n</w:t>
      </w:r>
      <w:r w:rsidR="00563FAB" w:rsidRPr="00532ED8">
        <w:rPr>
          <w:rFonts w:ascii="Century Gothic" w:eastAsia="Calibri" w:hAnsi="Century Gothic"/>
          <w:sz w:val="22"/>
          <w:szCs w:val="22"/>
          <w:lang w:eastAsia="en-US"/>
        </w:rPr>
        <w:t>iveles de ríos y arroyos, deslaves e inundaciones</w:t>
      </w:r>
      <w:r w:rsidR="00563FAB" w:rsidRPr="00532ED8">
        <w:rPr>
          <w:rFonts w:ascii="Century Gothic" w:eastAsia="Calibri" w:hAnsi="Century Gothic" w:cs="Arial"/>
          <w:sz w:val="22"/>
          <w:szCs w:val="22"/>
          <w:lang w:eastAsia="en-US"/>
        </w:rPr>
        <w:t>, a fin de proteger la vida de la población y sus bienes</w:t>
      </w:r>
      <w:r w:rsidR="007D560D">
        <w:rPr>
          <w:rFonts w:ascii="Century Gothic" w:eastAsia="Calibri" w:hAnsi="Century Gothic" w:cs="Arial"/>
          <w:sz w:val="22"/>
          <w:szCs w:val="22"/>
          <w:lang w:eastAsia="en-US"/>
        </w:rPr>
        <w:t>.</w:t>
      </w:r>
    </w:p>
    <w:p w14:paraId="7071BA59" w14:textId="77777777" w:rsidR="00197571" w:rsidRPr="00120B03" w:rsidRDefault="00197571" w:rsidP="00A76854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i/>
          <w:iCs/>
          <w:sz w:val="22"/>
          <w:szCs w:val="22"/>
          <w:lang w:eastAsia="es-ES"/>
        </w:rPr>
      </w:pPr>
    </w:p>
    <w:p w14:paraId="6FC79A4F" w14:textId="540DFA0D" w:rsidR="00152324" w:rsidRPr="00120B03" w:rsidRDefault="00152324" w:rsidP="00A76854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 w:rsidRPr="00120B03">
        <w:rPr>
          <w:rFonts w:ascii="Century Gothic" w:hAnsi="Century Gothic" w:cs="Tahoma"/>
          <w:sz w:val="22"/>
          <w:szCs w:val="22"/>
          <w:lang w:eastAsia="es-ES"/>
        </w:rPr>
        <w:tab/>
        <w:t xml:space="preserve">Por lo anteriormente expuesto y fundado, me permito someter a </w:t>
      </w:r>
      <w:r w:rsidR="00FE3AE6" w:rsidRPr="00120B03">
        <w:rPr>
          <w:rFonts w:ascii="Century Gothic" w:hAnsi="Century Gothic" w:cs="Tahoma"/>
          <w:sz w:val="22"/>
          <w:szCs w:val="22"/>
          <w:lang w:eastAsia="es-ES"/>
        </w:rPr>
        <w:t xml:space="preserve">su </w:t>
      </w:r>
      <w:r w:rsidRPr="00120B03">
        <w:rPr>
          <w:rFonts w:ascii="Century Gothic" w:hAnsi="Century Gothic" w:cs="Tahoma"/>
          <w:sz w:val="22"/>
          <w:szCs w:val="22"/>
          <w:lang w:eastAsia="es-ES"/>
        </w:rPr>
        <w:t>consideración el siguiente:</w:t>
      </w:r>
    </w:p>
    <w:p w14:paraId="294C18B3" w14:textId="77777777" w:rsidR="00152324" w:rsidRPr="00120B03" w:rsidRDefault="00152324" w:rsidP="00152324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b/>
          <w:bCs/>
          <w:sz w:val="22"/>
          <w:szCs w:val="22"/>
          <w:lang w:eastAsia="es-ES"/>
        </w:rPr>
      </w:pPr>
    </w:p>
    <w:p w14:paraId="3C8AE982" w14:textId="77777777" w:rsidR="00E16D55" w:rsidRDefault="00E16D55" w:rsidP="00152324">
      <w:pPr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Tahoma"/>
          <w:b/>
          <w:bCs/>
          <w:spacing w:val="60"/>
          <w:sz w:val="22"/>
          <w:szCs w:val="22"/>
          <w:lang w:eastAsia="es-ES"/>
        </w:rPr>
      </w:pPr>
    </w:p>
    <w:p w14:paraId="675C65FD" w14:textId="250417E9" w:rsidR="00152324" w:rsidRPr="00E16D55" w:rsidRDefault="002A478F" w:rsidP="00152324">
      <w:pPr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Tahoma"/>
          <w:b/>
          <w:bCs/>
          <w:spacing w:val="60"/>
          <w:sz w:val="22"/>
          <w:szCs w:val="22"/>
          <w:lang w:eastAsia="es-ES"/>
        </w:rPr>
      </w:pPr>
      <w:r w:rsidRPr="00E16D55">
        <w:rPr>
          <w:rFonts w:ascii="Century Gothic" w:hAnsi="Century Gothic" w:cs="Tahoma"/>
          <w:b/>
          <w:bCs/>
          <w:spacing w:val="60"/>
          <w:sz w:val="22"/>
          <w:szCs w:val="22"/>
          <w:lang w:eastAsia="es-ES"/>
        </w:rPr>
        <w:t>PUNTO DE ACUERD</w:t>
      </w:r>
      <w:r w:rsidR="00152324" w:rsidRPr="00E16D55">
        <w:rPr>
          <w:rFonts w:ascii="Century Gothic" w:hAnsi="Century Gothic" w:cs="Tahoma"/>
          <w:b/>
          <w:bCs/>
          <w:spacing w:val="60"/>
          <w:sz w:val="22"/>
          <w:szCs w:val="22"/>
          <w:lang w:eastAsia="es-ES"/>
        </w:rPr>
        <w:t>O</w:t>
      </w:r>
    </w:p>
    <w:p w14:paraId="4199D98A" w14:textId="77777777" w:rsidR="00152324" w:rsidRPr="00120B03" w:rsidRDefault="00152324" w:rsidP="00152324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</w:p>
    <w:p w14:paraId="4A311B40" w14:textId="29160795" w:rsidR="002F4E22" w:rsidRPr="00120B03" w:rsidRDefault="003C1F8B" w:rsidP="00152324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ahoma"/>
          <w:sz w:val="22"/>
          <w:szCs w:val="22"/>
          <w:lang w:eastAsia="es-ES"/>
        </w:rPr>
      </w:pPr>
      <w:r w:rsidRPr="003C1F8B">
        <w:rPr>
          <w:rFonts w:ascii="Century Gothic" w:hAnsi="Century Gothic" w:cs="Tahoma"/>
          <w:b/>
          <w:sz w:val="22"/>
          <w:szCs w:val="22"/>
          <w:lang w:eastAsia="es-ES"/>
        </w:rPr>
        <w:t>ÚNICO.</w:t>
      </w:r>
      <w:r w:rsidR="007D560D">
        <w:rPr>
          <w:rFonts w:ascii="Century Gothic" w:hAnsi="Century Gothic" w:cs="Tahoma"/>
          <w:sz w:val="22"/>
          <w:szCs w:val="22"/>
          <w:lang w:eastAsia="es-ES"/>
        </w:rPr>
        <w:t xml:space="preserve"> </w:t>
      </w:r>
      <w:r w:rsidR="007D560D">
        <w:rPr>
          <w:rFonts w:ascii="Century Gothic" w:eastAsia="Calibri" w:hAnsi="Century Gothic" w:cs="Arial"/>
          <w:sz w:val="22"/>
          <w:szCs w:val="22"/>
          <w:lang w:eastAsia="en-US"/>
        </w:rPr>
        <w:t>E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xhortar a la </w:t>
      </w:r>
      <w:r w:rsidR="007D560D" w:rsidRPr="00532ED8">
        <w:rPr>
          <w:rFonts w:ascii="Century Gothic" w:eastAsia="Calibri" w:hAnsi="Century Gothic"/>
          <w:sz w:val="22"/>
          <w:szCs w:val="22"/>
          <w:lang w:val="es-ES" w:eastAsia="en-US"/>
        </w:rPr>
        <w:t xml:space="preserve">Comisión Nacional del Agua realice las declaratorias de clasificación de zonas de alto riesgo por inundaciones y </w:t>
      </w:r>
      <w:r w:rsidR="007D560D" w:rsidRPr="00AD6959">
        <w:rPr>
          <w:rFonts w:ascii="Century Gothic" w:eastAsia="Calibri" w:hAnsi="Century Gothic"/>
          <w:sz w:val="22"/>
          <w:szCs w:val="22"/>
          <w:lang w:val="es-ES" w:eastAsia="en-US"/>
        </w:rPr>
        <w:t>dé a conocer</w:t>
      </w:r>
      <w:r w:rsidR="00E01F16">
        <w:rPr>
          <w:rFonts w:ascii="Century Gothic" w:eastAsia="Calibri" w:hAnsi="Century Gothic"/>
          <w:sz w:val="22"/>
          <w:szCs w:val="22"/>
          <w:lang w:val="es-ES" w:eastAsia="en-US"/>
        </w:rPr>
        <w:t xml:space="preserve"> a la población </w:t>
      </w:r>
      <w:r w:rsidR="00325487">
        <w:rPr>
          <w:rFonts w:ascii="Century Gothic" w:eastAsia="Calibri" w:hAnsi="Century Gothic"/>
          <w:sz w:val="22"/>
          <w:szCs w:val="22"/>
          <w:lang w:val="es-ES" w:eastAsia="en-US"/>
        </w:rPr>
        <w:t xml:space="preserve">en general </w:t>
      </w:r>
      <w:r w:rsidR="007D560D" w:rsidRPr="00532ED8">
        <w:rPr>
          <w:rFonts w:ascii="Century Gothic" w:eastAsia="Calibri" w:hAnsi="Century Gothic"/>
          <w:sz w:val="22"/>
          <w:szCs w:val="22"/>
          <w:lang w:val="es-ES" w:eastAsia="en-US"/>
        </w:rPr>
        <w:t>los atlas que correspondan a</w:t>
      </w:r>
      <w:r w:rsidR="007D560D" w:rsidRPr="00AD6959">
        <w:rPr>
          <w:rFonts w:ascii="Century Gothic" w:eastAsia="Calibri" w:hAnsi="Century Gothic"/>
          <w:sz w:val="22"/>
          <w:szCs w:val="22"/>
          <w:lang w:val="es-ES" w:eastAsia="en-US"/>
        </w:rPr>
        <w:t>l Estado de Puebla</w:t>
      </w:r>
      <w:r w:rsidR="00B51D96">
        <w:rPr>
          <w:rFonts w:ascii="Century Gothic" w:eastAsia="Calibri" w:hAnsi="Century Gothic"/>
          <w:sz w:val="22"/>
          <w:szCs w:val="22"/>
          <w:lang w:val="es-ES" w:eastAsia="en-US"/>
        </w:rPr>
        <w:t>;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a los 217 Ayuntamientos para que por su conducto se prevea 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atender 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las 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situaciones de contingencia que colmen o saturen los sistemas 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de las redes públicas de alcantarillado por 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>eventos de lluvia</w:t>
      </w:r>
      <w:r w:rsidR="00E01F16">
        <w:rPr>
          <w:rFonts w:ascii="Century Gothic" w:eastAsia="Calibri" w:hAnsi="Century Gothic" w:cs="Arial"/>
          <w:sz w:val="22"/>
          <w:szCs w:val="22"/>
          <w:lang w:eastAsia="en-US"/>
        </w:rPr>
        <w:t xml:space="preserve"> y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 granizo</w:t>
      </w:r>
      <w:r w:rsidR="00B51D96">
        <w:rPr>
          <w:rFonts w:ascii="Century Gothic" w:eastAsia="Calibri" w:hAnsi="Century Gothic" w:cs="Arial"/>
          <w:sz w:val="22"/>
          <w:szCs w:val="22"/>
          <w:lang w:eastAsia="en-US"/>
        </w:rPr>
        <w:t>;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a</w:t>
      </w:r>
      <w:r w:rsidR="007D560D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>l</w:t>
      </w:r>
      <w:r w:rsidR="007D560D">
        <w:rPr>
          <w:rFonts w:ascii="Century Gothic" w:eastAsia="Calibri" w:hAnsi="Century Gothic" w:cs="Arial"/>
          <w:sz w:val="22"/>
          <w:szCs w:val="22"/>
          <w:lang w:eastAsia="en-US"/>
        </w:rPr>
        <w:t xml:space="preserve">a Dirección General 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>de Protección Civil</w:t>
      </w:r>
      <w:r w:rsidR="007D560D">
        <w:rPr>
          <w:rFonts w:ascii="Century Gothic" w:eastAsia="Calibri" w:hAnsi="Century Gothic" w:cs="Arial"/>
          <w:sz w:val="22"/>
          <w:szCs w:val="22"/>
          <w:lang w:eastAsia="en-US"/>
        </w:rPr>
        <w:t xml:space="preserve"> del Gobierno del Estado de Puebla,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 </w:t>
      </w:r>
      <w:r w:rsidR="002C795B">
        <w:rPr>
          <w:rFonts w:ascii="Century Gothic" w:eastAsia="Calibri" w:hAnsi="Century Gothic" w:cs="Arial"/>
          <w:sz w:val="22"/>
          <w:szCs w:val="22"/>
          <w:lang w:eastAsia="en-US"/>
        </w:rPr>
        <w:t>i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>dentifi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que 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>y delimit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 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 xml:space="preserve">lugares o zonas </w:t>
      </w:r>
      <w:r w:rsidR="007D560D" w:rsidRPr="00AD6959">
        <w:rPr>
          <w:rFonts w:ascii="Century Gothic" w:eastAsia="Calibri" w:hAnsi="Century Gothic" w:cs="Arial"/>
          <w:sz w:val="22"/>
          <w:szCs w:val="22"/>
          <w:lang w:eastAsia="en-US"/>
        </w:rPr>
        <w:t xml:space="preserve">en donde se pudieran </w:t>
      </w:r>
      <w:r w:rsidR="007D560D" w:rsidRPr="00532ED8">
        <w:rPr>
          <w:rFonts w:ascii="Century Gothic" w:eastAsia="Calibri" w:hAnsi="Century Gothic"/>
          <w:sz w:val="22"/>
          <w:szCs w:val="22"/>
          <w:lang w:eastAsia="en-US"/>
        </w:rPr>
        <w:t>increment</w:t>
      </w:r>
      <w:r w:rsidR="007D560D" w:rsidRPr="00AD6959">
        <w:rPr>
          <w:rFonts w:ascii="Century Gothic" w:eastAsia="Calibri" w:hAnsi="Century Gothic"/>
          <w:sz w:val="22"/>
          <w:szCs w:val="22"/>
          <w:lang w:eastAsia="en-US"/>
        </w:rPr>
        <w:t>ar</w:t>
      </w:r>
      <w:r w:rsidR="007D560D" w:rsidRPr="00532ED8">
        <w:rPr>
          <w:rFonts w:ascii="Century Gothic" w:eastAsia="Calibri" w:hAnsi="Century Gothic"/>
          <w:sz w:val="22"/>
          <w:szCs w:val="22"/>
          <w:lang w:eastAsia="en-US"/>
        </w:rPr>
        <w:t xml:space="preserve"> </w:t>
      </w:r>
      <w:r w:rsidR="007D560D" w:rsidRPr="00AD6959">
        <w:rPr>
          <w:rFonts w:ascii="Century Gothic" w:eastAsia="Calibri" w:hAnsi="Century Gothic"/>
          <w:sz w:val="22"/>
          <w:szCs w:val="22"/>
          <w:lang w:eastAsia="en-US"/>
        </w:rPr>
        <w:t>los n</w:t>
      </w:r>
      <w:r w:rsidR="007D560D" w:rsidRPr="00532ED8">
        <w:rPr>
          <w:rFonts w:ascii="Century Gothic" w:eastAsia="Calibri" w:hAnsi="Century Gothic"/>
          <w:sz w:val="22"/>
          <w:szCs w:val="22"/>
          <w:lang w:eastAsia="en-US"/>
        </w:rPr>
        <w:t>iveles de ríos y arroyos, deslaves e inundaciones</w:t>
      </w:r>
      <w:r w:rsidR="007D560D" w:rsidRPr="00532ED8">
        <w:rPr>
          <w:rFonts w:ascii="Century Gothic" w:eastAsia="Calibri" w:hAnsi="Century Gothic" w:cs="Arial"/>
          <w:sz w:val="22"/>
          <w:szCs w:val="22"/>
          <w:lang w:eastAsia="en-US"/>
        </w:rPr>
        <w:t>, a fin de proteger la vida de la población y sus bienes</w:t>
      </w:r>
      <w:r w:rsidR="00E01F16">
        <w:rPr>
          <w:rFonts w:ascii="Century Gothic" w:eastAsia="Calibri" w:hAnsi="Century Gothic" w:cs="Arial"/>
          <w:sz w:val="22"/>
          <w:szCs w:val="22"/>
          <w:lang w:eastAsia="en-US"/>
        </w:rPr>
        <w:t>.</w:t>
      </w:r>
    </w:p>
    <w:p w14:paraId="152953C6" w14:textId="6D7F9A09" w:rsidR="00152324" w:rsidRDefault="00152324" w:rsidP="00581460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2C6F1525" w14:textId="77777777" w:rsidR="00E16D55" w:rsidRPr="00120B03" w:rsidRDefault="00E16D55" w:rsidP="00581460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19005481" w14:textId="3E335F7E" w:rsidR="00FB291D" w:rsidRPr="00E16D55" w:rsidRDefault="00E16D55" w:rsidP="00FB291D">
      <w:pPr>
        <w:spacing w:line="360" w:lineRule="auto"/>
        <w:jc w:val="center"/>
        <w:rPr>
          <w:rFonts w:ascii="Century Gothic" w:hAnsi="Century Gothic" w:cs="Tahoma"/>
          <w:b/>
          <w:spacing w:val="60"/>
          <w:sz w:val="22"/>
          <w:szCs w:val="22"/>
        </w:rPr>
      </w:pPr>
      <w:r w:rsidRPr="00E16D55">
        <w:rPr>
          <w:rFonts w:ascii="Century Gothic" w:hAnsi="Century Gothic" w:cs="Tahoma"/>
          <w:b/>
          <w:spacing w:val="60"/>
          <w:sz w:val="22"/>
          <w:szCs w:val="22"/>
        </w:rPr>
        <w:t>ATENTAMENT</w:t>
      </w:r>
      <w:r w:rsidR="00FB291D" w:rsidRPr="00E16D55">
        <w:rPr>
          <w:rFonts w:ascii="Century Gothic" w:hAnsi="Century Gothic" w:cs="Tahoma"/>
          <w:b/>
          <w:spacing w:val="60"/>
          <w:sz w:val="22"/>
          <w:szCs w:val="22"/>
        </w:rPr>
        <w:t>E</w:t>
      </w:r>
    </w:p>
    <w:p w14:paraId="414701E2" w14:textId="70583728" w:rsidR="00FB291D" w:rsidRPr="00941A73" w:rsidRDefault="00FB291D" w:rsidP="005905D6">
      <w:pPr>
        <w:spacing w:line="360" w:lineRule="auto"/>
        <w:jc w:val="center"/>
        <w:rPr>
          <w:rFonts w:ascii="Century Gothic" w:hAnsi="Century Gothic" w:cs="Tahoma"/>
          <w:sz w:val="22"/>
          <w:szCs w:val="22"/>
        </w:rPr>
      </w:pPr>
      <w:r w:rsidRPr="00941A73">
        <w:rPr>
          <w:rFonts w:ascii="Century Gothic" w:hAnsi="Century Gothic" w:cs="Tahoma"/>
          <w:sz w:val="22"/>
          <w:szCs w:val="22"/>
        </w:rPr>
        <w:t>CUATRO VECES HEROICA PUEBLA DE ZARAGOZA</w:t>
      </w:r>
      <w:r w:rsidR="005905D6" w:rsidRPr="00941A73">
        <w:rPr>
          <w:rFonts w:ascii="Century Gothic" w:hAnsi="Century Gothic" w:cs="Tahoma"/>
          <w:sz w:val="22"/>
          <w:szCs w:val="22"/>
        </w:rPr>
        <w:t xml:space="preserve">; </w:t>
      </w:r>
      <w:r w:rsidRPr="00941A73">
        <w:rPr>
          <w:rFonts w:ascii="Century Gothic" w:hAnsi="Century Gothic" w:cs="Tahoma"/>
          <w:sz w:val="22"/>
          <w:szCs w:val="22"/>
        </w:rPr>
        <w:t xml:space="preserve">A </w:t>
      </w:r>
      <w:r w:rsidR="00941A73">
        <w:rPr>
          <w:rFonts w:ascii="Century Gothic" w:hAnsi="Century Gothic" w:cs="Tahoma"/>
          <w:sz w:val="22"/>
          <w:szCs w:val="22"/>
        </w:rPr>
        <w:t>13</w:t>
      </w:r>
      <w:r w:rsidRPr="00941A73">
        <w:rPr>
          <w:rFonts w:ascii="Century Gothic" w:hAnsi="Century Gothic" w:cs="Tahoma"/>
          <w:sz w:val="22"/>
          <w:szCs w:val="22"/>
        </w:rPr>
        <w:t xml:space="preserve"> DE </w:t>
      </w:r>
      <w:r w:rsidR="00EB49B9" w:rsidRPr="00941A73">
        <w:rPr>
          <w:rFonts w:ascii="Century Gothic" w:hAnsi="Century Gothic" w:cs="Tahoma"/>
          <w:sz w:val="22"/>
          <w:szCs w:val="22"/>
        </w:rPr>
        <w:t>JUNIO</w:t>
      </w:r>
      <w:r w:rsidRPr="00941A73">
        <w:rPr>
          <w:rFonts w:ascii="Century Gothic" w:hAnsi="Century Gothic" w:cs="Tahoma"/>
          <w:sz w:val="22"/>
          <w:szCs w:val="22"/>
        </w:rPr>
        <w:t xml:space="preserve"> DEL 202</w:t>
      </w:r>
      <w:r w:rsidR="009B65DC" w:rsidRPr="00941A73">
        <w:rPr>
          <w:rFonts w:ascii="Century Gothic" w:hAnsi="Century Gothic" w:cs="Tahoma"/>
          <w:sz w:val="22"/>
          <w:szCs w:val="22"/>
        </w:rPr>
        <w:t>2</w:t>
      </w:r>
      <w:r w:rsidRPr="00941A73">
        <w:rPr>
          <w:rFonts w:ascii="Century Gothic" w:hAnsi="Century Gothic" w:cs="Tahoma"/>
          <w:sz w:val="22"/>
          <w:szCs w:val="22"/>
        </w:rPr>
        <w:t>.</w:t>
      </w:r>
    </w:p>
    <w:p w14:paraId="4E0A046E" w14:textId="77777777" w:rsidR="003C1F8B" w:rsidRDefault="003C1F8B" w:rsidP="005905D6">
      <w:pPr>
        <w:spacing w:line="360" w:lineRule="auto"/>
        <w:jc w:val="center"/>
        <w:rPr>
          <w:rFonts w:ascii="Century Gothic" w:hAnsi="Century Gothic" w:cs="Tahoma"/>
          <w:b/>
          <w:sz w:val="22"/>
          <w:szCs w:val="22"/>
        </w:rPr>
      </w:pPr>
    </w:p>
    <w:p w14:paraId="53E32EE0" w14:textId="77777777" w:rsidR="00E16D55" w:rsidRDefault="00E16D55" w:rsidP="005905D6">
      <w:pPr>
        <w:spacing w:line="360" w:lineRule="auto"/>
        <w:jc w:val="center"/>
        <w:rPr>
          <w:rFonts w:ascii="Century Gothic" w:hAnsi="Century Gothic" w:cs="Tahoma"/>
          <w:b/>
          <w:sz w:val="22"/>
          <w:szCs w:val="22"/>
        </w:rPr>
      </w:pPr>
    </w:p>
    <w:p w14:paraId="753AEC62" w14:textId="77777777" w:rsidR="00E16D55" w:rsidRPr="00120B03" w:rsidRDefault="00E16D55" w:rsidP="005905D6">
      <w:pPr>
        <w:spacing w:line="360" w:lineRule="auto"/>
        <w:jc w:val="center"/>
        <w:rPr>
          <w:rFonts w:ascii="Century Gothic" w:hAnsi="Century Gothic" w:cs="Tahoma"/>
          <w:b/>
          <w:sz w:val="22"/>
          <w:szCs w:val="22"/>
        </w:rPr>
      </w:pPr>
    </w:p>
    <w:p w14:paraId="14154C67" w14:textId="77777777" w:rsidR="00235CC4" w:rsidRDefault="00235CC4" w:rsidP="00235CC4">
      <w:pPr>
        <w:pStyle w:val="Sinespaciado"/>
        <w:rPr>
          <w:rFonts w:ascii="Century Gothic" w:hAnsi="Century Gothic"/>
        </w:rPr>
      </w:pPr>
    </w:p>
    <w:p w14:paraId="708B55FF" w14:textId="77777777" w:rsidR="00E16D55" w:rsidRPr="00120B03" w:rsidRDefault="00E16D55" w:rsidP="00235CC4">
      <w:pPr>
        <w:pStyle w:val="Sinespaciado"/>
        <w:rPr>
          <w:rFonts w:ascii="Century Gothic" w:hAnsi="Century Gothic"/>
        </w:rPr>
      </w:pPr>
    </w:p>
    <w:p w14:paraId="5184C7AB" w14:textId="47212A2A" w:rsidR="00BA565B" w:rsidRPr="00120B03" w:rsidRDefault="00FB291D" w:rsidP="008A0E81">
      <w:pPr>
        <w:spacing w:line="360" w:lineRule="auto"/>
        <w:jc w:val="center"/>
        <w:rPr>
          <w:rFonts w:ascii="Century Gothic" w:hAnsi="Century Gothic" w:cs="Tahoma"/>
          <w:b/>
          <w:sz w:val="22"/>
          <w:szCs w:val="22"/>
        </w:rPr>
      </w:pPr>
      <w:r w:rsidRPr="00120B03">
        <w:rPr>
          <w:rFonts w:ascii="Century Gothic" w:hAnsi="Century Gothic" w:cs="Tahoma"/>
          <w:b/>
          <w:sz w:val="22"/>
          <w:szCs w:val="22"/>
        </w:rPr>
        <w:t xml:space="preserve">DIP. NORMA SIRLEY REYES CABRERA </w:t>
      </w:r>
    </w:p>
    <w:sectPr w:rsidR="00BA565B" w:rsidRPr="00120B03" w:rsidSect="0063598A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410" w:right="1418" w:bottom="1134" w:left="1418" w:header="397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4D667" w14:textId="77777777" w:rsidR="004A058C" w:rsidRDefault="004A058C">
      <w:r>
        <w:separator/>
      </w:r>
    </w:p>
  </w:endnote>
  <w:endnote w:type="continuationSeparator" w:id="0">
    <w:p w14:paraId="029BD5EB" w14:textId="77777777" w:rsidR="004A058C" w:rsidRDefault="004A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87179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A5D570" w14:textId="1F846EF8" w:rsidR="00206C4D" w:rsidRDefault="00206C4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023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023E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FA3402" w14:textId="77777777" w:rsidR="00206C4D" w:rsidRDefault="00206C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3B904" w14:textId="77777777" w:rsidR="004A058C" w:rsidRDefault="004A058C">
      <w:r>
        <w:separator/>
      </w:r>
    </w:p>
  </w:footnote>
  <w:footnote w:type="continuationSeparator" w:id="0">
    <w:p w14:paraId="558EB8BB" w14:textId="77777777" w:rsidR="004A058C" w:rsidRDefault="004A058C">
      <w:r>
        <w:continuationSeparator/>
      </w:r>
    </w:p>
  </w:footnote>
  <w:footnote w:id="1">
    <w:p w14:paraId="6FF2CA22" w14:textId="719E0123" w:rsidR="00ED4E12" w:rsidRDefault="00ED4E12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1" w:history="1">
        <w:r>
          <w:rPr>
            <w:rStyle w:val="Hipervnculo"/>
          </w:rPr>
          <w:t>Funciones y Objetivos (conagua.gob.mx)</w:t>
        </w:r>
      </w:hyperlink>
    </w:p>
  </w:footnote>
  <w:footnote w:id="2">
    <w:p w14:paraId="1018557D" w14:textId="4F1B3804" w:rsidR="00B67172" w:rsidRDefault="00B67172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2" w:history="1">
        <w:r>
          <w:rPr>
            <w:rStyle w:val="Hipervnculo"/>
          </w:rPr>
          <w:t>Funciones y Objetivos (conagua.gob.mx)</w:t>
        </w:r>
      </w:hyperlink>
    </w:p>
  </w:footnote>
  <w:footnote w:id="3">
    <w:p w14:paraId="30AB3F72" w14:textId="02F09CFC" w:rsidR="0063598A" w:rsidRDefault="00532ED8" w:rsidP="00532ED8">
      <w:pPr>
        <w:pStyle w:val="Textonotapie"/>
      </w:pPr>
      <w:r>
        <w:rPr>
          <w:rStyle w:val="Refdenotaalpie"/>
        </w:rPr>
        <w:footnoteRef/>
      </w:r>
      <w:r>
        <w:t xml:space="preserve"> </w:t>
      </w:r>
      <w:hyperlink r:id="rId3" w:history="1">
        <w:r w:rsidR="0063598A" w:rsidRPr="0034418F">
          <w:rPr>
            <w:rStyle w:val="Hipervnculo"/>
          </w:rPr>
          <w:t>https://smn.conagua.gob.mx/es/pronosticos/pronosticossubmenu/pronostico-extendido-a-96-horas</w:t>
        </w:r>
      </w:hyperlink>
    </w:p>
    <w:p w14:paraId="1E2FC6F7" w14:textId="77777777" w:rsidR="0063598A" w:rsidRDefault="0063598A" w:rsidP="00532ED8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D5BD4" w14:textId="77777777" w:rsidR="00206C4D" w:rsidRDefault="004A058C">
    <w:pPr>
      <w:pStyle w:val="Encabezado"/>
    </w:pPr>
    <w:r>
      <w:rPr>
        <w:noProof/>
      </w:rPr>
      <w:pict w14:anchorId="0C6BF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781376" o:spid="_x0000_s1026" type="#_x0000_t75" alt="" style="position:absolute;margin-left:0;margin-top:0;width:441.3pt;height:621.6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cudo del Estado de Puebla vector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478A" w14:textId="649E6BC9" w:rsidR="00206C4D" w:rsidRPr="001D4CC3" w:rsidRDefault="00D9042A" w:rsidP="000E0738">
    <w:pPr>
      <w:spacing w:after="955" w:line="219" w:lineRule="auto"/>
      <w:jc w:val="right"/>
    </w:pPr>
    <w:r w:rsidRPr="00D9042A">
      <w:rPr>
        <w:noProof/>
      </w:rPr>
      <w:drawing>
        <wp:anchor distT="0" distB="0" distL="114300" distR="114300" simplePos="0" relativeHeight="251661824" behindDoc="0" locked="0" layoutInCell="1" allowOverlap="1" wp14:anchorId="1D4357DB" wp14:editId="76633BC0">
          <wp:simplePos x="0" y="0"/>
          <wp:positionH relativeFrom="margin">
            <wp:align>right</wp:align>
          </wp:positionH>
          <wp:positionV relativeFrom="paragraph">
            <wp:posOffset>114300</wp:posOffset>
          </wp:positionV>
          <wp:extent cx="1751965" cy="869950"/>
          <wp:effectExtent l="0" t="0" r="635" b="6350"/>
          <wp:wrapNone/>
          <wp:docPr id="9" name="Imagen 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57" t="32857" r="19901" b="33333"/>
                  <a:stretch/>
                </pic:blipFill>
                <pic:spPr bwMode="auto">
                  <a:xfrm>
                    <a:off x="0" y="0"/>
                    <a:ext cx="1751965" cy="869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042A">
      <w:rPr>
        <w:noProof/>
      </w:rPr>
      <w:drawing>
        <wp:anchor distT="0" distB="0" distL="114300" distR="114300" simplePos="0" relativeHeight="251662848" behindDoc="1" locked="0" layoutInCell="1" allowOverlap="1" wp14:anchorId="57A35D1A" wp14:editId="4B368F04">
          <wp:simplePos x="0" y="0"/>
          <wp:positionH relativeFrom="margin">
            <wp:align>left</wp:align>
          </wp:positionH>
          <wp:positionV relativeFrom="paragraph">
            <wp:posOffset>102870</wp:posOffset>
          </wp:positionV>
          <wp:extent cx="2795270" cy="899795"/>
          <wp:effectExtent l="0" t="0" r="5080" b="0"/>
          <wp:wrapTight wrapText="bothSides">
            <wp:wrapPolygon edited="0">
              <wp:start x="883" y="0"/>
              <wp:lineTo x="147" y="3658"/>
              <wp:lineTo x="147" y="5030"/>
              <wp:lineTo x="883" y="7317"/>
              <wp:lineTo x="0" y="7317"/>
              <wp:lineTo x="0" y="12805"/>
              <wp:lineTo x="1325" y="14634"/>
              <wp:lineTo x="442" y="14634"/>
              <wp:lineTo x="736" y="18292"/>
              <wp:lineTo x="2650" y="21036"/>
              <wp:lineTo x="20609" y="21036"/>
              <wp:lineTo x="21492" y="16463"/>
              <wp:lineTo x="21492" y="13262"/>
              <wp:lineTo x="19726" y="7317"/>
              <wp:lineTo x="15604" y="7317"/>
              <wp:lineTo x="21345" y="4116"/>
              <wp:lineTo x="21050" y="0"/>
              <wp:lineTo x="883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52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05BE0" w14:textId="77777777" w:rsidR="00206C4D" w:rsidRDefault="004A058C">
    <w:pPr>
      <w:pStyle w:val="Encabezado"/>
    </w:pPr>
    <w:r>
      <w:rPr>
        <w:noProof/>
      </w:rPr>
      <w:pict w14:anchorId="30249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781375" o:spid="_x0000_s1025" type="#_x0000_t75" alt="" style="position:absolute;margin-left:0;margin-top:0;width:441.3pt;height:621.6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scudo del Estado de Puebla vector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C05B6"/>
    <w:multiLevelType w:val="hybridMultilevel"/>
    <w:tmpl w:val="C570F570"/>
    <w:lvl w:ilvl="0" w:tplc="E4A66D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C315C"/>
    <w:multiLevelType w:val="hybridMultilevel"/>
    <w:tmpl w:val="5C42AA6A"/>
    <w:lvl w:ilvl="0" w:tplc="49F498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D21DA"/>
    <w:multiLevelType w:val="hybridMultilevel"/>
    <w:tmpl w:val="E49262AA"/>
    <w:lvl w:ilvl="0" w:tplc="9AEE2C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A5AAA"/>
    <w:multiLevelType w:val="hybridMultilevel"/>
    <w:tmpl w:val="565A2782"/>
    <w:lvl w:ilvl="0" w:tplc="4672DD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BD0ABF"/>
    <w:multiLevelType w:val="hybridMultilevel"/>
    <w:tmpl w:val="E43A109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735663919">
    <w:abstractNumId w:val="4"/>
  </w:num>
  <w:num w:numId="2" w16cid:durableId="914365792">
    <w:abstractNumId w:val="0"/>
  </w:num>
  <w:num w:numId="3" w16cid:durableId="23798766">
    <w:abstractNumId w:val="2"/>
  </w:num>
  <w:num w:numId="4" w16cid:durableId="1049037138">
    <w:abstractNumId w:val="3"/>
  </w:num>
  <w:num w:numId="5" w16cid:durableId="738793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91D"/>
    <w:rsid w:val="00003CA8"/>
    <w:rsid w:val="00003F69"/>
    <w:rsid w:val="00005CD0"/>
    <w:rsid w:val="0001551B"/>
    <w:rsid w:val="0003406B"/>
    <w:rsid w:val="00040724"/>
    <w:rsid w:val="0006265F"/>
    <w:rsid w:val="00081E2C"/>
    <w:rsid w:val="00083BB8"/>
    <w:rsid w:val="00096044"/>
    <w:rsid w:val="000B075F"/>
    <w:rsid w:val="000B163F"/>
    <w:rsid w:val="000C37A6"/>
    <w:rsid w:val="000C7229"/>
    <w:rsid w:val="000D0CBB"/>
    <w:rsid w:val="000E0738"/>
    <w:rsid w:val="000F59AB"/>
    <w:rsid w:val="00103462"/>
    <w:rsid w:val="00107367"/>
    <w:rsid w:val="00120049"/>
    <w:rsid w:val="00120B03"/>
    <w:rsid w:val="0012149B"/>
    <w:rsid w:val="00140BBC"/>
    <w:rsid w:val="00152324"/>
    <w:rsid w:val="00160902"/>
    <w:rsid w:val="0018438F"/>
    <w:rsid w:val="001908C0"/>
    <w:rsid w:val="0019522C"/>
    <w:rsid w:val="00197571"/>
    <w:rsid w:val="001B1A26"/>
    <w:rsid w:val="001B32BF"/>
    <w:rsid w:val="001C0B8A"/>
    <w:rsid w:val="001D5A94"/>
    <w:rsid w:val="001D756E"/>
    <w:rsid w:val="001F5F0E"/>
    <w:rsid w:val="00206C4D"/>
    <w:rsid w:val="002112EA"/>
    <w:rsid w:val="0021758E"/>
    <w:rsid w:val="00217DEB"/>
    <w:rsid w:val="00235CC4"/>
    <w:rsid w:val="002366C9"/>
    <w:rsid w:val="00247DFB"/>
    <w:rsid w:val="00257206"/>
    <w:rsid w:val="002A478F"/>
    <w:rsid w:val="002C0090"/>
    <w:rsid w:val="002C795B"/>
    <w:rsid w:val="002C7ECF"/>
    <w:rsid w:val="002D5410"/>
    <w:rsid w:val="002D7A72"/>
    <w:rsid w:val="002E710F"/>
    <w:rsid w:val="002F4E22"/>
    <w:rsid w:val="00302A96"/>
    <w:rsid w:val="00306398"/>
    <w:rsid w:val="00313E26"/>
    <w:rsid w:val="00316232"/>
    <w:rsid w:val="003179D4"/>
    <w:rsid w:val="0032023F"/>
    <w:rsid w:val="00323F5B"/>
    <w:rsid w:val="00325487"/>
    <w:rsid w:val="003311DD"/>
    <w:rsid w:val="00337463"/>
    <w:rsid w:val="003413A0"/>
    <w:rsid w:val="003662DE"/>
    <w:rsid w:val="003919D7"/>
    <w:rsid w:val="003A43FF"/>
    <w:rsid w:val="003A4A8B"/>
    <w:rsid w:val="003C1F8B"/>
    <w:rsid w:val="003C3747"/>
    <w:rsid w:val="003C3E5C"/>
    <w:rsid w:val="003C3FAE"/>
    <w:rsid w:val="003D0DED"/>
    <w:rsid w:val="003D2352"/>
    <w:rsid w:val="003E0073"/>
    <w:rsid w:val="003E0F57"/>
    <w:rsid w:val="003E27F0"/>
    <w:rsid w:val="003E3985"/>
    <w:rsid w:val="003F5400"/>
    <w:rsid w:val="00414F56"/>
    <w:rsid w:val="00433E5F"/>
    <w:rsid w:val="00447466"/>
    <w:rsid w:val="00450CC3"/>
    <w:rsid w:val="00452E6B"/>
    <w:rsid w:val="004646F1"/>
    <w:rsid w:val="00471D6E"/>
    <w:rsid w:val="00482A8E"/>
    <w:rsid w:val="0048449E"/>
    <w:rsid w:val="004922DA"/>
    <w:rsid w:val="004954F6"/>
    <w:rsid w:val="004A058C"/>
    <w:rsid w:val="004A3553"/>
    <w:rsid w:val="004A4CF7"/>
    <w:rsid w:val="004B270B"/>
    <w:rsid w:val="004B6C5D"/>
    <w:rsid w:val="004D0B1A"/>
    <w:rsid w:val="004F077A"/>
    <w:rsid w:val="004F26F0"/>
    <w:rsid w:val="004F4E7B"/>
    <w:rsid w:val="004F7CCC"/>
    <w:rsid w:val="0050670F"/>
    <w:rsid w:val="005308D9"/>
    <w:rsid w:val="00531503"/>
    <w:rsid w:val="00532ED8"/>
    <w:rsid w:val="005360B7"/>
    <w:rsid w:val="0054352A"/>
    <w:rsid w:val="00545161"/>
    <w:rsid w:val="00546FDE"/>
    <w:rsid w:val="00547653"/>
    <w:rsid w:val="005504A9"/>
    <w:rsid w:val="00563FAB"/>
    <w:rsid w:val="0056564A"/>
    <w:rsid w:val="00566CB9"/>
    <w:rsid w:val="00581460"/>
    <w:rsid w:val="005905D6"/>
    <w:rsid w:val="00591BA7"/>
    <w:rsid w:val="005949A8"/>
    <w:rsid w:val="00596670"/>
    <w:rsid w:val="005A4953"/>
    <w:rsid w:val="005A6C67"/>
    <w:rsid w:val="005B5333"/>
    <w:rsid w:val="005C16EC"/>
    <w:rsid w:val="005C58A7"/>
    <w:rsid w:val="005D3733"/>
    <w:rsid w:val="005E3359"/>
    <w:rsid w:val="005E7A0D"/>
    <w:rsid w:val="005F53FA"/>
    <w:rsid w:val="005F5B48"/>
    <w:rsid w:val="00613297"/>
    <w:rsid w:val="00616BF9"/>
    <w:rsid w:val="00617BD1"/>
    <w:rsid w:val="006202F7"/>
    <w:rsid w:val="00630327"/>
    <w:rsid w:val="00630AC6"/>
    <w:rsid w:val="00631F71"/>
    <w:rsid w:val="00632DD8"/>
    <w:rsid w:val="0063598A"/>
    <w:rsid w:val="006464D2"/>
    <w:rsid w:val="0064754E"/>
    <w:rsid w:val="00653E46"/>
    <w:rsid w:val="00670B77"/>
    <w:rsid w:val="00672E23"/>
    <w:rsid w:val="00674C64"/>
    <w:rsid w:val="0067709B"/>
    <w:rsid w:val="00682460"/>
    <w:rsid w:val="00682D66"/>
    <w:rsid w:val="00686485"/>
    <w:rsid w:val="00686683"/>
    <w:rsid w:val="006B024C"/>
    <w:rsid w:val="006C4063"/>
    <w:rsid w:val="006D06B7"/>
    <w:rsid w:val="006E534C"/>
    <w:rsid w:val="006E5A10"/>
    <w:rsid w:val="006F119E"/>
    <w:rsid w:val="00710176"/>
    <w:rsid w:val="007244AE"/>
    <w:rsid w:val="0072494A"/>
    <w:rsid w:val="00737C09"/>
    <w:rsid w:val="00742089"/>
    <w:rsid w:val="00742455"/>
    <w:rsid w:val="0076573F"/>
    <w:rsid w:val="00770FC1"/>
    <w:rsid w:val="007804AB"/>
    <w:rsid w:val="007809B9"/>
    <w:rsid w:val="00782D93"/>
    <w:rsid w:val="00783508"/>
    <w:rsid w:val="007857C6"/>
    <w:rsid w:val="00785F80"/>
    <w:rsid w:val="007961FD"/>
    <w:rsid w:val="007A238B"/>
    <w:rsid w:val="007A6101"/>
    <w:rsid w:val="007B1BF6"/>
    <w:rsid w:val="007C7BAB"/>
    <w:rsid w:val="007D560D"/>
    <w:rsid w:val="007E18C4"/>
    <w:rsid w:val="007E65D0"/>
    <w:rsid w:val="007E6E73"/>
    <w:rsid w:val="008066D8"/>
    <w:rsid w:val="008116E1"/>
    <w:rsid w:val="00816DA2"/>
    <w:rsid w:val="00827EF9"/>
    <w:rsid w:val="008426A7"/>
    <w:rsid w:val="008528BE"/>
    <w:rsid w:val="008600C7"/>
    <w:rsid w:val="0089615A"/>
    <w:rsid w:val="008A0C2F"/>
    <w:rsid w:val="008A0E81"/>
    <w:rsid w:val="008A4FE5"/>
    <w:rsid w:val="008B633A"/>
    <w:rsid w:val="008C24E2"/>
    <w:rsid w:val="008D4E91"/>
    <w:rsid w:val="008E7928"/>
    <w:rsid w:val="00901510"/>
    <w:rsid w:val="00904EB8"/>
    <w:rsid w:val="00907034"/>
    <w:rsid w:val="00916ED9"/>
    <w:rsid w:val="009174BD"/>
    <w:rsid w:val="009274E8"/>
    <w:rsid w:val="009279E2"/>
    <w:rsid w:val="00941A73"/>
    <w:rsid w:val="00947431"/>
    <w:rsid w:val="009547B3"/>
    <w:rsid w:val="009552C4"/>
    <w:rsid w:val="00965575"/>
    <w:rsid w:val="0096661C"/>
    <w:rsid w:val="00966EB1"/>
    <w:rsid w:val="00983837"/>
    <w:rsid w:val="009870D5"/>
    <w:rsid w:val="00992245"/>
    <w:rsid w:val="009B65DC"/>
    <w:rsid w:val="009C049D"/>
    <w:rsid w:val="009C4494"/>
    <w:rsid w:val="009C465F"/>
    <w:rsid w:val="009E635C"/>
    <w:rsid w:val="00A02A58"/>
    <w:rsid w:val="00A10D0A"/>
    <w:rsid w:val="00A169A3"/>
    <w:rsid w:val="00A46476"/>
    <w:rsid w:val="00A524CD"/>
    <w:rsid w:val="00A562B0"/>
    <w:rsid w:val="00A643BF"/>
    <w:rsid w:val="00A76854"/>
    <w:rsid w:val="00A802C7"/>
    <w:rsid w:val="00A8067F"/>
    <w:rsid w:val="00AA13CE"/>
    <w:rsid w:val="00AA308D"/>
    <w:rsid w:val="00AA691F"/>
    <w:rsid w:val="00AB650D"/>
    <w:rsid w:val="00AC614F"/>
    <w:rsid w:val="00AC7D93"/>
    <w:rsid w:val="00AD6959"/>
    <w:rsid w:val="00AE0CE8"/>
    <w:rsid w:val="00AE7417"/>
    <w:rsid w:val="00AF0660"/>
    <w:rsid w:val="00AF2711"/>
    <w:rsid w:val="00B01675"/>
    <w:rsid w:val="00B04618"/>
    <w:rsid w:val="00B069B7"/>
    <w:rsid w:val="00B1374A"/>
    <w:rsid w:val="00B16B7B"/>
    <w:rsid w:val="00B2590A"/>
    <w:rsid w:val="00B47ADF"/>
    <w:rsid w:val="00B51D96"/>
    <w:rsid w:val="00B67172"/>
    <w:rsid w:val="00B8349D"/>
    <w:rsid w:val="00B94ADB"/>
    <w:rsid w:val="00B9561B"/>
    <w:rsid w:val="00B97BAA"/>
    <w:rsid w:val="00BA565B"/>
    <w:rsid w:val="00BB410F"/>
    <w:rsid w:val="00BC63CD"/>
    <w:rsid w:val="00BC7A9A"/>
    <w:rsid w:val="00BF1207"/>
    <w:rsid w:val="00BF4039"/>
    <w:rsid w:val="00C10000"/>
    <w:rsid w:val="00C210D1"/>
    <w:rsid w:val="00C24CB7"/>
    <w:rsid w:val="00C3382A"/>
    <w:rsid w:val="00C400F4"/>
    <w:rsid w:val="00C57A37"/>
    <w:rsid w:val="00C62CE3"/>
    <w:rsid w:val="00C857BE"/>
    <w:rsid w:val="00C928CB"/>
    <w:rsid w:val="00CB0551"/>
    <w:rsid w:val="00CC130B"/>
    <w:rsid w:val="00CE02F3"/>
    <w:rsid w:val="00CE15DC"/>
    <w:rsid w:val="00CF0326"/>
    <w:rsid w:val="00CF058E"/>
    <w:rsid w:val="00CF317A"/>
    <w:rsid w:val="00D02BC8"/>
    <w:rsid w:val="00D03DA5"/>
    <w:rsid w:val="00D1316F"/>
    <w:rsid w:val="00D1616E"/>
    <w:rsid w:val="00D24C27"/>
    <w:rsid w:val="00D8129A"/>
    <w:rsid w:val="00D9042A"/>
    <w:rsid w:val="00D965D5"/>
    <w:rsid w:val="00DA6E54"/>
    <w:rsid w:val="00DD0C00"/>
    <w:rsid w:val="00DE023E"/>
    <w:rsid w:val="00DF0FDC"/>
    <w:rsid w:val="00DF5870"/>
    <w:rsid w:val="00DF772D"/>
    <w:rsid w:val="00E01F16"/>
    <w:rsid w:val="00E16D55"/>
    <w:rsid w:val="00E40DBC"/>
    <w:rsid w:val="00E432DF"/>
    <w:rsid w:val="00E52D07"/>
    <w:rsid w:val="00E53EC6"/>
    <w:rsid w:val="00E544F5"/>
    <w:rsid w:val="00E73909"/>
    <w:rsid w:val="00E84ED2"/>
    <w:rsid w:val="00E85237"/>
    <w:rsid w:val="00E8705E"/>
    <w:rsid w:val="00E904CC"/>
    <w:rsid w:val="00E93239"/>
    <w:rsid w:val="00EA2AD9"/>
    <w:rsid w:val="00EB49B9"/>
    <w:rsid w:val="00EB7584"/>
    <w:rsid w:val="00ED4CCB"/>
    <w:rsid w:val="00ED4E12"/>
    <w:rsid w:val="00F03792"/>
    <w:rsid w:val="00F37283"/>
    <w:rsid w:val="00F45BE2"/>
    <w:rsid w:val="00F521CA"/>
    <w:rsid w:val="00F618CC"/>
    <w:rsid w:val="00F72FC7"/>
    <w:rsid w:val="00F814C2"/>
    <w:rsid w:val="00F8473D"/>
    <w:rsid w:val="00F8516F"/>
    <w:rsid w:val="00FA45CA"/>
    <w:rsid w:val="00FB089D"/>
    <w:rsid w:val="00FB17AA"/>
    <w:rsid w:val="00FB291D"/>
    <w:rsid w:val="00FB691C"/>
    <w:rsid w:val="00FC33CC"/>
    <w:rsid w:val="00FD191D"/>
    <w:rsid w:val="00FD5331"/>
    <w:rsid w:val="00FE3AE6"/>
    <w:rsid w:val="00FF54D7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27497"/>
  <w15:docId w15:val="{7F68AE10-6346-4DC7-9530-BA6E0303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91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191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FD191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191D"/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FD191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FD191D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566CB9"/>
    <w:pPr>
      <w:widowControl w:val="0"/>
      <w:autoSpaceDE w:val="0"/>
      <w:autoSpaceDN w:val="0"/>
    </w:pPr>
    <w:rPr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66CB9"/>
    <w:rPr>
      <w:rFonts w:ascii="Times New Roman" w:eastAsia="Times New Roman" w:hAnsi="Times New Roman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1843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E7A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E7A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E7A0D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7A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E7A0D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A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A0D"/>
    <w:rPr>
      <w:rFonts w:ascii="Tahoma" w:eastAsia="Times New Roman" w:hAnsi="Tahoma" w:cs="Tahoma"/>
      <w:sz w:val="16"/>
      <w:szCs w:val="16"/>
      <w:lang w:val="es-MX" w:eastAsia="es-MX"/>
    </w:rPr>
  </w:style>
  <w:style w:type="paragraph" w:styleId="NormalWeb">
    <w:name w:val="Normal (Web)"/>
    <w:basedOn w:val="Normal"/>
    <w:uiPriority w:val="99"/>
    <w:semiHidden/>
    <w:unhideWhenUsed/>
    <w:rsid w:val="0072494A"/>
    <w:pPr>
      <w:spacing w:before="100" w:beforeAutospacing="1" w:after="100" w:afterAutospacing="1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308D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308D9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5308D9"/>
    <w:rPr>
      <w:vertAlign w:val="superscript"/>
    </w:rPr>
  </w:style>
  <w:style w:type="table" w:styleId="Tablaconcuadrcula">
    <w:name w:val="Table Grid"/>
    <w:basedOn w:val="Tablanormal"/>
    <w:uiPriority w:val="39"/>
    <w:rsid w:val="00742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">
    <w:name w:val="Estilo"/>
    <w:basedOn w:val="Sinespaciado"/>
    <w:link w:val="EstiloCar"/>
    <w:qFormat/>
    <w:rsid w:val="006D06B7"/>
    <w:pPr>
      <w:jc w:val="both"/>
    </w:pPr>
    <w:rPr>
      <w:rFonts w:ascii="Arial" w:hAnsi="Arial"/>
      <w:sz w:val="24"/>
    </w:rPr>
  </w:style>
  <w:style w:type="character" w:customStyle="1" w:styleId="EstiloCar">
    <w:name w:val="Estilo Car"/>
    <w:basedOn w:val="Fuentedeprrafopredeter"/>
    <w:link w:val="Estilo"/>
    <w:rsid w:val="006D06B7"/>
    <w:rPr>
      <w:rFonts w:ascii="Arial" w:hAnsi="Arial"/>
      <w:sz w:val="24"/>
      <w:lang w:val="es-MX"/>
    </w:rPr>
  </w:style>
  <w:style w:type="character" w:customStyle="1" w:styleId="markedcontent">
    <w:name w:val="markedcontent"/>
    <w:basedOn w:val="Fuentedeprrafopredeter"/>
    <w:rsid w:val="00152324"/>
  </w:style>
  <w:style w:type="character" w:customStyle="1" w:styleId="highlight">
    <w:name w:val="highlight"/>
    <w:basedOn w:val="Fuentedeprrafopredeter"/>
    <w:rsid w:val="00152324"/>
  </w:style>
  <w:style w:type="character" w:styleId="Hipervnculovisitado">
    <w:name w:val="FollowedHyperlink"/>
    <w:basedOn w:val="Fuentedeprrafopredeter"/>
    <w:uiPriority w:val="99"/>
    <w:semiHidden/>
    <w:unhideWhenUsed/>
    <w:rsid w:val="00CC130B"/>
    <w:rPr>
      <w:color w:val="800080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76854"/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76854"/>
    <w:rPr>
      <w:rFonts w:ascii="Calibri" w:eastAsia="Calibri" w:hAnsi="Calibri" w:cs="Times New Roman"/>
      <w:sz w:val="20"/>
      <w:szCs w:val="20"/>
      <w:lang w:val="es-MX"/>
    </w:rPr>
  </w:style>
  <w:style w:type="character" w:styleId="Refdenotaalfinal">
    <w:name w:val="endnote reference"/>
    <w:basedOn w:val="Fuentedeprrafopredeter"/>
    <w:uiPriority w:val="99"/>
    <w:semiHidden/>
    <w:unhideWhenUsed/>
    <w:rsid w:val="00A7685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6B0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mn.conagua.gob.mx/es/pronosticos/pronosticossubmenu/pronostico-extendido-a-96-horas" TargetMode="External"/><Relationship Id="rId2" Type="http://schemas.openxmlformats.org/officeDocument/2006/relationships/hyperlink" Target="https://smn.conagua.gob.mx/es/smn/funciones-y-objetivos" TargetMode="External"/><Relationship Id="rId1" Type="http://schemas.openxmlformats.org/officeDocument/2006/relationships/hyperlink" Target="https://smn.conagua.gob.mx/es/smn/funciones-y-objetiv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1A7AD-E98A-4B9F-A8E2-B71CAE8DC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1503</Words>
  <Characters>8268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Esteban Israel Mejía Romero</cp:lastModifiedBy>
  <cp:revision>2</cp:revision>
  <cp:lastPrinted>2022-06-14T04:59:00Z</cp:lastPrinted>
  <dcterms:created xsi:type="dcterms:W3CDTF">2022-06-14T14:16:00Z</dcterms:created>
  <dcterms:modified xsi:type="dcterms:W3CDTF">2022-06-14T14:16:00Z</dcterms:modified>
</cp:coreProperties>
</file>