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13F66232" w:rsidR="00930299" w:rsidRPr="00930299" w:rsidRDefault="00D022E6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54461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</w:t>
      </w:r>
      <w:r w:rsidR="00480DA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ED0D58">
        <w:rPr>
          <w:rFonts w:ascii="Tahoma" w:eastAsia="Times New Roman" w:hAnsi="Tahoma" w:cs="Tahoma"/>
          <w:sz w:val="20"/>
          <w:szCs w:val="20"/>
          <w:lang w:val="es-ES" w:eastAsia="es-ES"/>
        </w:rPr>
        <w:t>13 de octubre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1D6AB00E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54461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3F33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544614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AE10E9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ED0D58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="00AE10E9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96DB3D5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401B7419" w14:textId="77777777" w:rsidR="00544614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</w:t>
      </w:r>
    </w:p>
    <w:p w14:paraId="2DF2BDFE" w14:textId="1E230249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77777777" w:rsidR="00CC7088" w:rsidRPr="005163F1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D4F794C" w14:textId="6CED6194" w:rsidR="00D022E6" w:rsidRDefault="00D022E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5163F1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700BFFCD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0DC94A0" w14:textId="093EB81D" w:rsidR="00D022E6" w:rsidRDefault="00D022E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4629D8EC" w14:textId="77777777" w:rsidR="00D022E6" w:rsidRPr="005163F1" w:rsidRDefault="00D022E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3E56F59" w14:textId="1A2BBC5F" w:rsidR="005163F1" w:rsidRDefault="00930299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</w:t>
      </w:r>
      <w:r w:rsidR="00ED0D58" w:rsidRPr="00ED0D58">
        <w:rPr>
          <w:rFonts w:ascii="Tahoma" w:eastAsia="Calibri" w:hAnsi="Tahoma" w:cs="Tahoma"/>
          <w:sz w:val="24"/>
          <w:szCs w:val="24"/>
          <w:lang w:val="es-US"/>
        </w:rPr>
        <w:t xml:space="preserve">Lectura del Acta de la sesión anterior de fecha </w:t>
      </w:r>
      <w:r w:rsidR="00ED0D58">
        <w:rPr>
          <w:rFonts w:ascii="Tahoma" w:eastAsia="Calibri" w:hAnsi="Tahoma" w:cs="Tahoma"/>
          <w:sz w:val="24"/>
          <w:szCs w:val="24"/>
          <w:lang w:val="es-US"/>
        </w:rPr>
        <w:t>6 de julio</w:t>
      </w:r>
      <w:r w:rsidR="00ED0D58" w:rsidRPr="00ED0D58">
        <w:rPr>
          <w:rFonts w:ascii="Tahoma" w:eastAsia="Calibri" w:hAnsi="Tahoma" w:cs="Tahoma"/>
          <w:sz w:val="24"/>
          <w:szCs w:val="24"/>
          <w:lang w:val="es-US"/>
        </w:rPr>
        <w:t xml:space="preserve"> de 2022 y, en su caso, aprobación.</w:t>
      </w:r>
    </w:p>
    <w:p w14:paraId="1AE650AC" w14:textId="10B186E4" w:rsid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5909958" w14:textId="17578782" w:rsid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3F64518" w14:textId="69C56C67" w:rsid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9DD0D7F" w14:textId="1270BDDF" w:rsid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ED0D58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4.- </w:t>
      </w:r>
      <w:r w:rsidRPr="00ED0D58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exhorta de manera atenta y respetuosa a la Secretaría de Salud del Gobierno del Estado de Puebla y a los 217 Ayuntamientos del Estado de Puebla, para que en el ámbito de su competencia y de conformidad con sus atribuciones, durante el mes de octubre del año en curso, realicen campañas coordinadas con las diferentes dependencias y entidades de la administración pública estatal y municipal, respectivamente, para informar y sensibilizar a la población en general sobre la importancia de la detección oportuna de cáncer de mama fomentando la autoexploración, la exploración clínica y la realización de la mastografía; además de dar a conocer las recomendaciones para poder reducir los riesgos de padecer dicha enfermedad”, entre otros resolutivos, y en su caso, aprobación.</w:t>
      </w:r>
    </w:p>
    <w:p w14:paraId="0AE0A85B" w14:textId="77777777" w:rsidR="00ED0D58" w:rsidRP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05BB98B" w14:textId="77777777" w:rsidR="00ED0D58" w:rsidRP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s-US"/>
        </w:rPr>
      </w:pPr>
    </w:p>
    <w:p w14:paraId="55DC9E95" w14:textId="39EA05BA" w:rsidR="00ED0D58" w:rsidRPr="00ED0D58" w:rsidRDefault="00ED0D58" w:rsidP="00ED0D5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ED0D58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5.- </w:t>
      </w:r>
      <w:r w:rsidRPr="00ED0D58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solicita a la Secretaría de Salud del Gobierno del Estado de Puebla, implemente para la temporada de los frentes fríos 2022-2023 una campaña de difusión en las que prevenga y se recomiende a la población del estado lo siguiente: vacunarse contra influenza ante la temporada invernal; cubrir nariz y boca, para evitar la exposición directa a contaminantes ambientales; evitar cambios bruscos de temperatura; usar crema para hidratar y proteger la piel del frío; y en caso de presentar algún malestar, acudir al centro de salud más cercano”, entre otros resolutivos, y en su caso, aprobación.</w:t>
      </w:r>
    </w:p>
    <w:p w14:paraId="280977DE" w14:textId="77777777" w:rsidR="00930299" w:rsidRPr="00ED0D58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930299" w:rsidRPr="00ED0D58" w:rsidSect="00813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1A7" w14:textId="77777777" w:rsidR="00C335B7" w:rsidRDefault="00C335B7" w:rsidP="004A5079">
      <w:pPr>
        <w:spacing w:after="0" w:line="240" w:lineRule="auto"/>
      </w:pPr>
      <w:r>
        <w:separator/>
      </w:r>
    </w:p>
  </w:endnote>
  <w:endnote w:type="continuationSeparator" w:id="0">
    <w:p w14:paraId="3EAA9BE8" w14:textId="77777777" w:rsidR="00C335B7" w:rsidRDefault="00C335B7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F395" w14:textId="77777777" w:rsidR="00B3586F" w:rsidRDefault="00B35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575" w14:textId="77777777" w:rsidR="00B3586F" w:rsidRDefault="00B358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7B85" w14:textId="77777777" w:rsidR="00B3586F" w:rsidRDefault="00B35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63FA" w14:textId="77777777" w:rsidR="00C335B7" w:rsidRDefault="00C335B7" w:rsidP="004A5079">
      <w:pPr>
        <w:spacing w:after="0" w:line="240" w:lineRule="auto"/>
      </w:pPr>
      <w:r>
        <w:separator/>
      </w:r>
    </w:p>
  </w:footnote>
  <w:footnote w:type="continuationSeparator" w:id="0">
    <w:p w14:paraId="2B52BE7B" w14:textId="77777777" w:rsidR="00C335B7" w:rsidRDefault="00C335B7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4B51F45D" w:rsidR="00930299" w:rsidRPr="00930299" w:rsidRDefault="00B3586F" w:rsidP="00B3586F">
    <w:pPr>
      <w:tabs>
        <w:tab w:val="center" w:pos="4252"/>
        <w:tab w:val="center" w:pos="5261"/>
        <w:tab w:val="right" w:pos="8504"/>
        <w:tab w:val="right" w:pos="10522"/>
      </w:tabs>
      <w:spacing w:after="0" w:line="140" w:lineRule="atLeast"/>
      <w:ind w:right="-316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rFonts w:ascii="Lucida Handwriting" w:eastAsia="Times New Roman" w:hAnsi="Lucida Handwriting" w:cs="Times New Roman"/>
        <w:sz w:val="16"/>
        <w:szCs w:val="16"/>
        <w:lang w:eastAsia="es-ES"/>
      </w:rPr>
      <w:tab/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ab/>
    </w:r>
    <w:r w:rsidR="00930299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299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ab/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ab/>
    </w:r>
  </w:p>
  <w:p w14:paraId="2B9C5152" w14:textId="77777777" w:rsidR="004737F2" w:rsidRDefault="00930299" w:rsidP="00330386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4737F2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COMISIONES UNIDAS DE</w:t>
    </w:r>
  </w:p>
  <w:p w14:paraId="2B552276" w14:textId="1743A295" w:rsidR="004A5079" w:rsidRPr="00930299" w:rsidRDefault="004737F2" w:rsidP="004737F2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SALUD Y DE </w:t>
    </w:r>
    <w:r w:rsidR="00B3586F">
      <w:rPr>
        <w:rFonts w:ascii="Tahoma" w:eastAsia="Times New Roman" w:hAnsi="Tahoma" w:cs="Tahoma"/>
        <w:b/>
        <w:bCs/>
        <w:sz w:val="34"/>
        <w:szCs w:val="34"/>
        <w:lang w:val="es-ES" w:eastAsia="es-ES"/>
      </w:rPr>
      <w:t>ASUNTOS MUNICIPALES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21815"/>
    <w:rsid w:val="0005543E"/>
    <w:rsid w:val="000A4EC4"/>
    <w:rsid w:val="00103E3E"/>
    <w:rsid w:val="0012425D"/>
    <w:rsid w:val="001D4323"/>
    <w:rsid w:val="00284CD7"/>
    <w:rsid w:val="002900EC"/>
    <w:rsid w:val="002B3C8F"/>
    <w:rsid w:val="00321C28"/>
    <w:rsid w:val="00330386"/>
    <w:rsid w:val="00380BF4"/>
    <w:rsid w:val="003D31D1"/>
    <w:rsid w:val="003F335C"/>
    <w:rsid w:val="0044792A"/>
    <w:rsid w:val="004737F2"/>
    <w:rsid w:val="00480DA4"/>
    <w:rsid w:val="004A5079"/>
    <w:rsid w:val="004A5FC4"/>
    <w:rsid w:val="004C7CD7"/>
    <w:rsid w:val="004E08EF"/>
    <w:rsid w:val="005163F1"/>
    <w:rsid w:val="005171BD"/>
    <w:rsid w:val="00534194"/>
    <w:rsid w:val="00544614"/>
    <w:rsid w:val="005E06D1"/>
    <w:rsid w:val="00656996"/>
    <w:rsid w:val="006A56B0"/>
    <w:rsid w:val="006B2F5C"/>
    <w:rsid w:val="00756FDA"/>
    <w:rsid w:val="007F5E1E"/>
    <w:rsid w:val="00813A52"/>
    <w:rsid w:val="00814F16"/>
    <w:rsid w:val="00853D7D"/>
    <w:rsid w:val="00872DA5"/>
    <w:rsid w:val="00901B8B"/>
    <w:rsid w:val="00927DB1"/>
    <w:rsid w:val="00930299"/>
    <w:rsid w:val="009825F0"/>
    <w:rsid w:val="00A95DA7"/>
    <w:rsid w:val="00AE10E9"/>
    <w:rsid w:val="00AF4F66"/>
    <w:rsid w:val="00B3586F"/>
    <w:rsid w:val="00B75A83"/>
    <w:rsid w:val="00B9665C"/>
    <w:rsid w:val="00BC7A62"/>
    <w:rsid w:val="00C335B7"/>
    <w:rsid w:val="00C718F2"/>
    <w:rsid w:val="00CC7088"/>
    <w:rsid w:val="00CE141B"/>
    <w:rsid w:val="00D022E6"/>
    <w:rsid w:val="00D03528"/>
    <w:rsid w:val="00D0572D"/>
    <w:rsid w:val="00D36DB7"/>
    <w:rsid w:val="00D379E6"/>
    <w:rsid w:val="00DB49E8"/>
    <w:rsid w:val="00E00B83"/>
    <w:rsid w:val="00E36005"/>
    <w:rsid w:val="00ED0D58"/>
    <w:rsid w:val="00F40276"/>
    <w:rsid w:val="00F82AAE"/>
    <w:rsid w:val="00FA1BB0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cp:lastPrinted>2022-02-09T18:26:00Z</cp:lastPrinted>
  <dcterms:created xsi:type="dcterms:W3CDTF">2022-10-12T18:53:00Z</dcterms:created>
  <dcterms:modified xsi:type="dcterms:W3CDTF">2022-10-12T19:38:00Z</dcterms:modified>
</cp:coreProperties>
</file>