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3E2FF7D5" w:rsidR="00930299" w:rsidRPr="00930299" w:rsidRDefault="0062662C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A61578">
        <w:rPr>
          <w:rFonts w:ascii="Tahoma" w:eastAsia="Times New Roman" w:hAnsi="Tahoma" w:cs="Tahoma"/>
          <w:sz w:val="20"/>
          <w:szCs w:val="20"/>
          <w:lang w:val="es-ES" w:eastAsia="es-ES"/>
        </w:rPr>
        <w:t>4 de noviembre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2022</w:t>
      </w:r>
    </w:p>
    <w:p w14:paraId="0E85EDFD" w14:textId="38D0524B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Sala “</w:t>
      </w:r>
      <w:r w:rsidR="00826827">
        <w:rPr>
          <w:rFonts w:ascii="Tahoma" w:eastAsia="Times New Roman" w:hAnsi="Tahoma" w:cs="Tahoma"/>
          <w:sz w:val="20"/>
          <w:szCs w:val="20"/>
          <w:lang w:val="es-ES" w:eastAsia="es-ES"/>
        </w:rPr>
        <w:t>Migrantes Poblanos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826827">
        <w:rPr>
          <w:rFonts w:ascii="Tahoma" w:eastAsia="Times New Roman" w:hAnsi="Tahoma" w:cs="Tahoma"/>
          <w:sz w:val="20"/>
          <w:szCs w:val="20"/>
          <w:lang w:val="es-ES" w:eastAsia="es-ES"/>
        </w:rPr>
        <w:t>10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:</w:t>
      </w:r>
      <w:r w:rsidR="002447E3">
        <w:rPr>
          <w:rFonts w:ascii="Tahoma" w:eastAsia="Times New Roman" w:hAnsi="Tahoma" w:cs="Tahoma"/>
          <w:sz w:val="20"/>
          <w:szCs w:val="20"/>
          <w:lang w:val="es-ES" w:eastAsia="es-ES"/>
        </w:rPr>
        <w:t>00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4B385891" w14:textId="4D20B0AC" w:rsidR="001A75F7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2DF2BDFE" w14:textId="797D53AA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</w:t>
      </w:r>
    </w:p>
    <w:p w14:paraId="546F7690" w14:textId="525B47C8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12DDAAFC" w14:textId="5CF54B87" w:rsidR="001A75F7" w:rsidRDefault="001A75F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495F6CE8" w14:textId="2DCF8001" w:rsidR="001A75F7" w:rsidRDefault="001A75F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B9D65E9" w14:textId="33045F25" w:rsidR="00930299" w:rsidRP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6CE1EB93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32176ACD" w14:textId="515971BD" w:rsidR="001A75F7" w:rsidRDefault="001A75F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5039553" w14:textId="77777777" w:rsidR="001A75F7" w:rsidRPr="00930299" w:rsidRDefault="001A75F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2A8D615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2CA924A4" w14:textId="7223DDD8" w:rsidR="00AF4F6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3.-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Acta de la sesión anterior de fecha</w:t>
      </w:r>
      <w:r w:rsidR="0092084E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="003360E4">
        <w:rPr>
          <w:rFonts w:ascii="Tahoma" w:eastAsia="Calibri" w:hAnsi="Tahoma" w:cs="Tahoma"/>
          <w:sz w:val="26"/>
          <w:szCs w:val="26"/>
          <w:lang w:val="es-US"/>
        </w:rPr>
        <w:t>30 de septiembre</w:t>
      </w:r>
      <w:r w:rsidR="002447E3">
        <w:rPr>
          <w:rFonts w:ascii="Tahoma" w:eastAsia="Calibri" w:hAnsi="Tahoma" w:cs="Tahoma"/>
          <w:sz w:val="26"/>
          <w:szCs w:val="26"/>
          <w:lang w:val="es-US"/>
        </w:rPr>
        <w:t xml:space="preserve"> de 2022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</w:p>
    <w:p w14:paraId="1AF148F1" w14:textId="59BAB9CB" w:rsidR="001A75F7" w:rsidRDefault="001A75F7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FDE418F" w14:textId="77777777" w:rsidR="0016433C" w:rsidRDefault="0016433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FEF7D25" w14:textId="77777777" w:rsidR="00AF4F6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5049739" w14:textId="212F7C42" w:rsidR="00DF5B4E" w:rsidRDefault="00AF4F66" w:rsidP="00DF5B4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AF4F66">
        <w:rPr>
          <w:rFonts w:ascii="Tahoma" w:eastAsia="Calibri" w:hAnsi="Tahoma" w:cs="Tahoma"/>
          <w:b/>
          <w:sz w:val="26"/>
          <w:szCs w:val="26"/>
          <w:lang w:val="es-US"/>
        </w:rPr>
        <w:t>4.-</w:t>
      </w:r>
      <w:r w:rsidR="00887E81">
        <w:rPr>
          <w:rFonts w:ascii="Tahoma" w:eastAsia="Calibri" w:hAnsi="Tahoma" w:cs="Tahoma"/>
          <w:b/>
          <w:sz w:val="26"/>
          <w:szCs w:val="26"/>
          <w:lang w:val="es-US"/>
        </w:rPr>
        <w:t xml:space="preserve"> </w:t>
      </w:r>
      <w:r w:rsidR="00DF5B4E" w:rsidRPr="00DF5B4E">
        <w:rPr>
          <w:rFonts w:ascii="Tahoma" w:eastAsia="Calibri" w:hAnsi="Tahoma" w:cs="Tahoma"/>
          <w:bCs/>
          <w:sz w:val="26"/>
          <w:szCs w:val="26"/>
          <w:lang w:val="es-US"/>
        </w:rPr>
        <w:t xml:space="preserve">Lectura del Proyecto de respuesta con relación al escrito, suscrito por el C. Rogelio Marroquín Aparicio, </w:t>
      </w:r>
      <w:proofErr w:type="gramStart"/>
      <w:r w:rsidR="00DF5B4E" w:rsidRPr="00DF5B4E">
        <w:rPr>
          <w:rFonts w:ascii="Tahoma" w:eastAsia="Calibri" w:hAnsi="Tahoma" w:cs="Tahoma"/>
          <w:bCs/>
          <w:sz w:val="26"/>
          <w:szCs w:val="26"/>
          <w:lang w:val="es-US"/>
        </w:rPr>
        <w:t>Presidente</w:t>
      </w:r>
      <w:proofErr w:type="gramEnd"/>
      <w:r w:rsidR="00DF5B4E" w:rsidRPr="00DF5B4E">
        <w:rPr>
          <w:rFonts w:ascii="Tahoma" w:eastAsia="Calibri" w:hAnsi="Tahoma" w:cs="Tahoma"/>
          <w:bCs/>
          <w:sz w:val="26"/>
          <w:szCs w:val="26"/>
          <w:lang w:val="es-US"/>
        </w:rPr>
        <w:t xml:space="preserve"> del Comité Comunitario, de San Pablito, Pahuatlán, y en su caso, aprobación.</w:t>
      </w:r>
    </w:p>
    <w:p w14:paraId="35BEA8D9" w14:textId="6E606180" w:rsidR="00DF5B4E" w:rsidRDefault="00DF5B4E" w:rsidP="00DF5B4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02894F15" w14:textId="77777777" w:rsidR="00DF5B4E" w:rsidRPr="00DF5B4E" w:rsidRDefault="00DF5B4E" w:rsidP="00DF5B4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5C2A398D" w14:textId="77777777" w:rsidR="00DF5B4E" w:rsidRPr="00DF5B4E" w:rsidRDefault="00DF5B4E" w:rsidP="00DF5B4E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5AEEB9E0" w14:textId="68AB9B8A" w:rsidR="00DF5B4E" w:rsidRDefault="00DF5B4E" w:rsidP="00DF5B4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DF5B4E">
        <w:rPr>
          <w:rFonts w:ascii="Tahoma" w:eastAsia="Calibri" w:hAnsi="Tahoma" w:cs="Tahoma"/>
          <w:b/>
          <w:sz w:val="26"/>
          <w:szCs w:val="26"/>
          <w:lang w:val="es-US"/>
        </w:rPr>
        <w:t>5.</w:t>
      </w: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- </w:t>
      </w:r>
      <w:r w:rsidRPr="00DF5B4E">
        <w:rPr>
          <w:rFonts w:ascii="Tahoma" w:eastAsia="Calibri" w:hAnsi="Tahoma" w:cs="Tahoma"/>
          <w:bCs/>
          <w:sz w:val="26"/>
          <w:szCs w:val="26"/>
          <w:lang w:val="es-US"/>
        </w:rPr>
        <w:t xml:space="preserve">Lectura del Proyecto de respuesta con relación al escrito, suscrito por el C. José Miguel Rojas Vértiz Bermúdez, </w:t>
      </w:r>
      <w:proofErr w:type="gramStart"/>
      <w:r w:rsidRPr="00DF5B4E">
        <w:rPr>
          <w:rFonts w:ascii="Tahoma" w:eastAsia="Calibri" w:hAnsi="Tahoma" w:cs="Tahoma"/>
          <w:bCs/>
          <w:sz w:val="26"/>
          <w:szCs w:val="26"/>
          <w:lang w:val="es-US"/>
        </w:rPr>
        <w:t>Director General</w:t>
      </w:r>
      <w:proofErr w:type="gramEnd"/>
      <w:r w:rsidRPr="00DF5B4E">
        <w:rPr>
          <w:rFonts w:ascii="Tahoma" w:eastAsia="Calibri" w:hAnsi="Tahoma" w:cs="Tahoma"/>
          <w:bCs/>
          <w:sz w:val="26"/>
          <w:szCs w:val="26"/>
          <w:lang w:val="es-US"/>
        </w:rPr>
        <w:t xml:space="preserve"> de la Fundación de Beneficencia Privada Banco de Alimentos Caritas Puebla, y en su caso, aprobación.</w:t>
      </w:r>
    </w:p>
    <w:p w14:paraId="1A7ADED8" w14:textId="76C3C98D" w:rsidR="00DF5B4E" w:rsidRDefault="00DF5B4E" w:rsidP="00DF5B4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50181232" w14:textId="77777777" w:rsidR="00DF5B4E" w:rsidRPr="00DF5B4E" w:rsidRDefault="00DF5B4E" w:rsidP="00DF5B4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135DB68C" w14:textId="77777777" w:rsidR="00DF5B4E" w:rsidRPr="00DF5B4E" w:rsidRDefault="00DF5B4E" w:rsidP="00DF5B4E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0D30C91E" w14:textId="467ED843" w:rsidR="00DF5B4E" w:rsidRDefault="00DF5B4E" w:rsidP="00DF5B4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DF5B4E">
        <w:rPr>
          <w:rFonts w:ascii="Tahoma" w:eastAsia="Calibri" w:hAnsi="Tahoma" w:cs="Tahoma"/>
          <w:b/>
          <w:sz w:val="26"/>
          <w:szCs w:val="26"/>
          <w:lang w:val="es-US"/>
        </w:rPr>
        <w:t>6.</w:t>
      </w: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- </w:t>
      </w:r>
      <w:r w:rsidRPr="00DF5B4E">
        <w:rPr>
          <w:rFonts w:ascii="Tahoma" w:eastAsia="Calibri" w:hAnsi="Tahoma" w:cs="Tahoma"/>
          <w:bCs/>
          <w:sz w:val="26"/>
          <w:szCs w:val="26"/>
          <w:lang w:val="es-US"/>
        </w:rPr>
        <w:t xml:space="preserve">Lectura del Proyecto de respuesta con relación al oficio PMZ/12/10/2022, suscrito por el C.P. Mario Roberto Huerta Gómez, </w:t>
      </w:r>
      <w:proofErr w:type="gramStart"/>
      <w:r w:rsidRPr="00DF5B4E">
        <w:rPr>
          <w:rFonts w:ascii="Tahoma" w:eastAsia="Calibri" w:hAnsi="Tahoma" w:cs="Tahoma"/>
          <w:bCs/>
          <w:sz w:val="26"/>
          <w:szCs w:val="26"/>
          <w:lang w:val="es-US"/>
        </w:rPr>
        <w:t>Presidente</w:t>
      </w:r>
      <w:proofErr w:type="gramEnd"/>
      <w:r w:rsidRPr="00DF5B4E">
        <w:rPr>
          <w:rFonts w:ascii="Tahoma" w:eastAsia="Calibri" w:hAnsi="Tahoma" w:cs="Tahoma"/>
          <w:bCs/>
          <w:sz w:val="26"/>
          <w:szCs w:val="26"/>
          <w:lang w:val="es-US"/>
        </w:rPr>
        <w:t xml:space="preserve"> Municipal del Honorable Ayuntamiento de Zinacatepec, Puebla, y en su caso, aprobación.</w:t>
      </w:r>
    </w:p>
    <w:p w14:paraId="0B3B62DA" w14:textId="004BF6E1" w:rsidR="00DF5B4E" w:rsidRDefault="00DF5B4E" w:rsidP="00DF5B4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7D4AB342" w14:textId="77777777" w:rsidR="00DF5B4E" w:rsidRPr="00DF5B4E" w:rsidRDefault="00DF5B4E" w:rsidP="00DF5B4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23A0367A" w14:textId="77777777" w:rsidR="00DF5B4E" w:rsidRPr="00DF5B4E" w:rsidRDefault="00DF5B4E" w:rsidP="00DF5B4E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21E1B49" w14:textId="280FC76F" w:rsidR="00930299" w:rsidRPr="00DF5B4E" w:rsidRDefault="00DF5B4E" w:rsidP="00DF5B4E">
      <w:pPr>
        <w:spacing w:after="0" w:line="240" w:lineRule="auto"/>
        <w:jc w:val="both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DF5B4E">
        <w:rPr>
          <w:rFonts w:ascii="Tahoma" w:eastAsia="Calibri" w:hAnsi="Tahoma" w:cs="Tahoma"/>
          <w:b/>
          <w:sz w:val="26"/>
          <w:szCs w:val="26"/>
          <w:lang w:val="es-US"/>
        </w:rPr>
        <w:t>7.</w:t>
      </w:r>
      <w:r>
        <w:rPr>
          <w:rFonts w:ascii="Tahoma" w:eastAsia="Calibri" w:hAnsi="Tahoma" w:cs="Tahoma"/>
          <w:b/>
          <w:sz w:val="26"/>
          <w:szCs w:val="26"/>
          <w:lang w:val="es-US"/>
        </w:rPr>
        <w:t xml:space="preserve">- </w:t>
      </w:r>
      <w:r w:rsidRPr="00DF5B4E">
        <w:rPr>
          <w:rFonts w:ascii="Tahoma" w:eastAsia="Calibri" w:hAnsi="Tahoma" w:cs="Tahoma"/>
          <w:bCs/>
          <w:sz w:val="26"/>
          <w:szCs w:val="26"/>
          <w:lang w:val="es-US"/>
        </w:rPr>
        <w:t>Asuntos generales.</w:t>
      </w:r>
    </w:p>
    <w:p w14:paraId="280977DE" w14:textId="77777777" w:rsidR="00930299" w:rsidRP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sectPr w:rsidR="00930299" w:rsidRPr="00930299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FE05" w14:textId="77777777" w:rsidR="00004066" w:rsidRDefault="00004066" w:rsidP="004A5079">
      <w:pPr>
        <w:spacing w:after="0" w:line="240" w:lineRule="auto"/>
      </w:pPr>
      <w:r>
        <w:separator/>
      </w:r>
    </w:p>
  </w:endnote>
  <w:endnote w:type="continuationSeparator" w:id="0">
    <w:p w14:paraId="0F6A569A" w14:textId="77777777" w:rsidR="00004066" w:rsidRDefault="00004066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D15E" w14:textId="77777777" w:rsidR="00004066" w:rsidRDefault="00004066" w:rsidP="004A5079">
      <w:pPr>
        <w:spacing w:after="0" w:line="240" w:lineRule="auto"/>
      </w:pPr>
      <w:r>
        <w:separator/>
      </w:r>
    </w:p>
  </w:footnote>
  <w:footnote w:type="continuationSeparator" w:id="0">
    <w:p w14:paraId="77894A3D" w14:textId="77777777" w:rsidR="00004066" w:rsidRDefault="00004066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A61578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8752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6CC30774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04DBD17A" w14:textId="77777777" w:rsidR="0058067F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DE </w:t>
    </w:r>
    <w:r w:rsidR="00D97125">
      <w:rPr>
        <w:rFonts w:ascii="Tahoma" w:eastAsia="Times New Roman" w:hAnsi="Tahoma" w:cs="Tahoma"/>
        <w:b/>
        <w:bCs/>
        <w:sz w:val="34"/>
        <w:szCs w:val="34"/>
        <w:lang w:val="es-ES" w:eastAsia="es-ES"/>
      </w:rPr>
      <w:t>PRESUPUESTO</w:t>
    </w:r>
    <w:r w:rsidR="0058067F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Y</w:t>
    </w:r>
  </w:p>
  <w:p w14:paraId="2B552276" w14:textId="518D6CAA" w:rsidR="004A5079" w:rsidRPr="00930299" w:rsidRDefault="0058067F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CRÉDITO PÚBLICO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A61578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728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04066"/>
    <w:rsid w:val="00045061"/>
    <w:rsid w:val="00103E3E"/>
    <w:rsid w:val="0012425D"/>
    <w:rsid w:val="0016433C"/>
    <w:rsid w:val="001A75F7"/>
    <w:rsid w:val="00217490"/>
    <w:rsid w:val="002447E3"/>
    <w:rsid w:val="00262324"/>
    <w:rsid w:val="00321C28"/>
    <w:rsid w:val="003360E4"/>
    <w:rsid w:val="00495B27"/>
    <w:rsid w:val="004A5079"/>
    <w:rsid w:val="0058067F"/>
    <w:rsid w:val="0062662C"/>
    <w:rsid w:val="006B0437"/>
    <w:rsid w:val="006B2F5C"/>
    <w:rsid w:val="006D59DA"/>
    <w:rsid w:val="007604ED"/>
    <w:rsid w:val="0079718D"/>
    <w:rsid w:val="007B5DB3"/>
    <w:rsid w:val="00813A52"/>
    <w:rsid w:val="00814F16"/>
    <w:rsid w:val="00826827"/>
    <w:rsid w:val="00887E81"/>
    <w:rsid w:val="008A77F7"/>
    <w:rsid w:val="0092084E"/>
    <w:rsid w:val="00930299"/>
    <w:rsid w:val="009E2469"/>
    <w:rsid w:val="009E78D8"/>
    <w:rsid w:val="00A61578"/>
    <w:rsid w:val="00AF4F66"/>
    <w:rsid w:val="00BA12E3"/>
    <w:rsid w:val="00BD221C"/>
    <w:rsid w:val="00CF72AB"/>
    <w:rsid w:val="00D274D3"/>
    <w:rsid w:val="00D97125"/>
    <w:rsid w:val="00DF5B4E"/>
    <w:rsid w:val="00E36005"/>
    <w:rsid w:val="00F55ED7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</cp:lastModifiedBy>
  <cp:revision>6</cp:revision>
  <dcterms:created xsi:type="dcterms:W3CDTF">2022-11-03T20:19:00Z</dcterms:created>
  <dcterms:modified xsi:type="dcterms:W3CDTF">2022-11-03T23:35:00Z</dcterms:modified>
</cp:coreProperties>
</file>